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A8E00" w14:textId="58D6C8EF" w:rsidR="00467436" w:rsidRPr="00A27FA0" w:rsidRDefault="00467436" w:rsidP="00ED55CA">
      <w:pPr>
        <w:pStyle w:val="Heading1"/>
        <w:jc w:val="right"/>
        <w:rPr>
          <w:rFonts w:ascii="Times New Roman" w:hAnsi="Times New Roman" w:cs="Times New Roman"/>
          <w:lang w:eastAsia="lv-LV"/>
        </w:rPr>
      </w:pPr>
      <w:r w:rsidRPr="00A27FA0">
        <w:rPr>
          <w:rFonts w:ascii="Times New Roman" w:hAnsi="Times New Roman" w:cs="Times New Roman"/>
          <w:lang w:eastAsia="lv-LV"/>
        </w:rPr>
        <w:t xml:space="preserve">Latvijas Pārtikas </w:t>
      </w:r>
      <w:r w:rsidR="00ED55CA" w:rsidRPr="00A27FA0">
        <w:rPr>
          <w:rFonts w:ascii="Times New Roman" w:hAnsi="Times New Roman" w:cs="Times New Roman"/>
          <w:lang w:eastAsia="lv-LV"/>
        </w:rPr>
        <w:t>kompetences centrs</w:t>
      </w:r>
    </w:p>
    <w:p w14:paraId="43156A7E" w14:textId="3794E049" w:rsidR="00ED55CA" w:rsidRPr="00A27FA0" w:rsidRDefault="00ED55CA" w:rsidP="00ED55CA">
      <w:pPr>
        <w:jc w:val="right"/>
        <w:rPr>
          <w:rFonts w:ascii="Times New Roman" w:eastAsiaTheme="minorEastAsia" w:hAnsi="Times New Roman" w:cs="Times New Roman"/>
          <w:b/>
          <w:bCs/>
          <w:color w:val="1F3864" w:themeColor="accent1" w:themeShade="80"/>
          <w:sz w:val="32"/>
          <w:szCs w:val="20"/>
          <w:shd w:val="clear" w:color="auto" w:fill="FFFFFF"/>
          <w:lang w:eastAsia="lv-LV"/>
        </w:rPr>
      </w:pPr>
      <w:r w:rsidRPr="00A27FA0">
        <w:rPr>
          <w:rFonts w:ascii="Times New Roman" w:eastAsiaTheme="minorEastAsia" w:hAnsi="Times New Roman" w:cs="Times New Roman"/>
          <w:b/>
          <w:bCs/>
          <w:color w:val="1F3864" w:themeColor="accent1" w:themeShade="80"/>
          <w:sz w:val="32"/>
          <w:szCs w:val="20"/>
          <w:shd w:val="clear" w:color="auto" w:fill="FFFFFF"/>
          <w:lang w:eastAsia="lv-LV"/>
        </w:rPr>
        <w:t>Pētniecības projektu vērtēšanas kritēriji</w:t>
      </w:r>
    </w:p>
    <w:p w14:paraId="46671C74" w14:textId="3A5A0B06" w:rsidR="00776B0E" w:rsidRPr="00A27FA0" w:rsidRDefault="00A27FA0" w:rsidP="00BE234A">
      <w:pPr>
        <w:pStyle w:val="Heading2"/>
        <w:numPr>
          <w:ilvl w:val="1"/>
          <w:numId w:val="39"/>
        </w:numPr>
        <w:rPr>
          <w:rFonts w:ascii="Times New Roman" w:hAnsi="Times New Roman" w:cs="Times New Roman"/>
          <w:color w:val="002060"/>
          <w:sz w:val="22"/>
          <w:szCs w:val="22"/>
        </w:rPr>
      </w:pPr>
      <w:bookmarkStart w:id="0" w:name="_Toc450850163"/>
      <w:bookmarkStart w:id="1" w:name="_Toc530602622"/>
      <w:bookmarkStart w:id="2" w:name="_Toc530671612"/>
      <w:r w:rsidRPr="00A27FA0">
        <w:rPr>
          <w:rFonts w:ascii="Times New Roman" w:hAnsi="Times New Roman" w:cs="Times New Roman"/>
          <w:color w:val="002060"/>
          <w:sz w:val="22"/>
          <w:szCs w:val="18"/>
        </w:rPr>
        <w:t>P</w:t>
      </w:r>
      <w:r w:rsidR="00776B0E" w:rsidRPr="00A27FA0">
        <w:rPr>
          <w:rFonts w:ascii="Times New Roman" w:hAnsi="Times New Roman" w:cs="Times New Roman"/>
          <w:color w:val="002060"/>
          <w:sz w:val="22"/>
          <w:szCs w:val="18"/>
        </w:rPr>
        <w:t>rojektu atlases kritēriji</w:t>
      </w:r>
      <w:bookmarkEnd w:id="0"/>
      <w:bookmarkEnd w:id="1"/>
      <w:bookmarkEnd w:id="2"/>
    </w:p>
    <w:tbl>
      <w:tblPr>
        <w:tblStyle w:val="GridTable1Light-Accent51"/>
        <w:tblW w:w="9895" w:type="dxa"/>
        <w:tblLook w:val="04A0" w:firstRow="1" w:lastRow="0" w:firstColumn="1" w:lastColumn="0" w:noHBand="0" w:noVBand="1"/>
      </w:tblPr>
      <w:tblGrid>
        <w:gridCol w:w="6385"/>
        <w:gridCol w:w="3510"/>
      </w:tblGrid>
      <w:tr w:rsidR="0051455A" w:rsidRPr="00A27FA0" w14:paraId="74E0A8C8" w14:textId="77777777" w:rsidTr="005145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95" w:type="dxa"/>
            <w:gridSpan w:val="2"/>
          </w:tcPr>
          <w:p w14:paraId="3B0CCB51" w14:textId="77777777" w:rsidR="0051455A" w:rsidRPr="00A27FA0" w:rsidRDefault="0051455A" w:rsidP="00FD1642">
            <w:pPr>
              <w:jc w:val="center"/>
              <w:rPr>
                <w:rFonts w:ascii="Times New Roman" w:hAnsi="Times New Roman" w:cs="Times New Roman"/>
                <w:sz w:val="18"/>
              </w:rPr>
            </w:pPr>
            <w:r w:rsidRPr="00A27FA0">
              <w:rPr>
                <w:rFonts w:ascii="Times New Roman" w:eastAsia="Times New Roman" w:hAnsi="Times New Roman" w:cs="Times New Roman"/>
                <w:sz w:val="18"/>
              </w:rPr>
              <w:t>Vērtējums</w:t>
            </w:r>
          </w:p>
        </w:tc>
      </w:tr>
      <w:tr w:rsidR="0051455A" w:rsidRPr="00A27FA0" w14:paraId="54A0DCB0"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69B7EFFF" w14:textId="743505E1"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Vai pētniecības projektam ir starptautisks raksturs</w:t>
            </w:r>
          </w:p>
        </w:tc>
        <w:tc>
          <w:tcPr>
            <w:tcW w:w="3510" w:type="dxa"/>
          </w:tcPr>
          <w:p w14:paraId="343653F4" w14:textId="312F79CF"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Jā – 1; Nē - 0</w:t>
            </w:r>
          </w:p>
          <w:p w14:paraId="233F760F"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Kritērijs nav izslēdzošs</w:t>
            </w:r>
          </w:p>
        </w:tc>
      </w:tr>
      <w:tr w:rsidR="0051455A" w:rsidRPr="00A27FA0" w14:paraId="647874B9"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3A3F3177" w14:textId="77777777"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Horizontālā principa “Ilgtspējīga attīstība” nodrošināšana, papildus punktus piešķirot pētniecības projektiem par eko-inovatīvu tehnoloģiju attīstību un ieviešanu</w:t>
            </w:r>
          </w:p>
        </w:tc>
        <w:tc>
          <w:tcPr>
            <w:tcW w:w="3510" w:type="dxa"/>
          </w:tcPr>
          <w:p w14:paraId="75AEA80F" w14:textId="0560C85A"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 xml:space="preserve">Jā – 1; Nē - 0 </w:t>
            </w:r>
          </w:p>
          <w:p w14:paraId="4872501E"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Kritērijs nav izslēdzošs</w:t>
            </w:r>
          </w:p>
        </w:tc>
      </w:tr>
      <w:tr w:rsidR="0051455A" w:rsidRPr="00A27FA0" w14:paraId="2965F2E6"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7C22D7A3" w14:textId="78DD2509"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Vai pētniecības projekts atbilst viedās specializācijas jomām vai uzņēmējdarbības atklājuma procesā</w:t>
            </w:r>
            <w:r w:rsidR="006752A7" w:rsidRPr="00A27FA0">
              <w:rPr>
                <w:b w:val="0"/>
                <w:bCs w:val="0"/>
                <w:sz w:val="20"/>
                <w:lang w:val="lv-LV" w:eastAsia="lv-LV"/>
              </w:rPr>
              <w:t>*</w:t>
            </w:r>
            <w:r w:rsidRPr="00A27FA0">
              <w:rPr>
                <w:b w:val="0"/>
                <w:bCs w:val="0"/>
                <w:sz w:val="20"/>
                <w:lang w:val="lv-LV" w:eastAsia="lv-LV"/>
              </w:rPr>
              <w:t xml:space="preserve"> noteiktajai specializācijas jomai vai apakšjomai</w:t>
            </w:r>
          </w:p>
        </w:tc>
        <w:tc>
          <w:tcPr>
            <w:tcW w:w="3510" w:type="dxa"/>
          </w:tcPr>
          <w:p w14:paraId="1DD40FD0" w14:textId="6CF2E97A"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Jā – 1; Nē - 0</w:t>
            </w:r>
          </w:p>
          <w:p w14:paraId="6B6F56E8"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Kritērijs ir izslēdzošs, projektu tālāk nevērtē</w:t>
            </w:r>
          </w:p>
        </w:tc>
      </w:tr>
      <w:tr w:rsidR="0051455A" w:rsidRPr="00A27FA0" w14:paraId="7A71CCA1"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47243BB1" w14:textId="73ACA23A" w:rsidR="0051455A" w:rsidRPr="00A27FA0" w:rsidRDefault="00401144" w:rsidP="00776B0E">
            <w:pPr>
              <w:pStyle w:val="ListParagraph"/>
              <w:numPr>
                <w:ilvl w:val="0"/>
                <w:numId w:val="4"/>
              </w:numPr>
              <w:rPr>
                <w:b w:val="0"/>
                <w:bCs w:val="0"/>
                <w:sz w:val="20"/>
                <w:lang w:val="lv-LV" w:eastAsia="lv-LV"/>
              </w:rPr>
            </w:pPr>
            <w:r w:rsidRPr="00A27FA0">
              <w:rPr>
                <w:rFonts w:cstheme="minorHAnsi"/>
                <w:b w:val="0"/>
                <w:sz w:val="22"/>
                <w:lang w:val="lv-LV" w:eastAsia="lv-LV"/>
              </w:rPr>
              <w:t>Vai pētniecības projekts atbilst 4.-8. tehnoloģiskās gatavības līmenim, ievērojot pētījuma veidu (rūpnieciskais pētījums – vismaz TRL 4, eksperimentālā izstrāde – vismaz TRL 5, tehniski ekonomiskā priekšizpete– vismaz TRL4)**</w:t>
            </w:r>
          </w:p>
        </w:tc>
        <w:tc>
          <w:tcPr>
            <w:tcW w:w="3510" w:type="dxa"/>
          </w:tcPr>
          <w:p w14:paraId="739567BC" w14:textId="3DF3E3C8"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Jā – 1; Nē - 0</w:t>
            </w:r>
          </w:p>
          <w:p w14:paraId="45B98D62"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Kritērijs ir izslēdzošs, var lemt samazināt projektu par neatbilstošo daļu</w:t>
            </w:r>
          </w:p>
        </w:tc>
      </w:tr>
      <w:tr w:rsidR="0051455A" w:rsidRPr="00A27FA0" w14:paraId="08788932"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7AC42922" w14:textId="77777777"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Pētījuma kvalitātes vērtējums:</w:t>
            </w:r>
          </w:p>
        </w:tc>
        <w:tc>
          <w:tcPr>
            <w:tcW w:w="3510" w:type="dxa"/>
          </w:tcPr>
          <w:p w14:paraId="6A01AB33" w14:textId="5076503D"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 xml:space="preserve">Vērtē 1-5 punktu skalā. </w:t>
            </w:r>
          </w:p>
          <w:p w14:paraId="5D11A1C9"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Kritērijā jāsaņem vismaz 2 punkti</w:t>
            </w:r>
          </w:p>
        </w:tc>
      </w:tr>
      <w:tr w:rsidR="0051455A" w:rsidRPr="00A27FA0" w14:paraId="1A060F8A"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1333E93B" w14:textId="77777777"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Pētījuma ietekmes vērtējums:</w:t>
            </w:r>
          </w:p>
        </w:tc>
        <w:tc>
          <w:tcPr>
            <w:tcW w:w="3510" w:type="dxa"/>
          </w:tcPr>
          <w:p w14:paraId="63D83D35" w14:textId="65F1132B"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 xml:space="preserve">Vērtē 1-5 punktu skalā. </w:t>
            </w:r>
          </w:p>
          <w:p w14:paraId="79B11881"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Kritērijā jāsaņem vismaz 2 punkti</w:t>
            </w:r>
          </w:p>
        </w:tc>
      </w:tr>
      <w:tr w:rsidR="0051455A" w:rsidRPr="00A27FA0" w14:paraId="5B22847B"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758EF294" w14:textId="77777777"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Pētījuma izpildes vērtējums:</w:t>
            </w:r>
          </w:p>
          <w:p w14:paraId="07FD029E" w14:textId="77777777" w:rsidR="0051455A" w:rsidRPr="00A27FA0" w:rsidRDefault="0051455A" w:rsidP="00FD1642">
            <w:pPr>
              <w:rPr>
                <w:rFonts w:ascii="Times New Roman" w:hAnsi="Times New Roman" w:cs="Times New Roman"/>
                <w:b w:val="0"/>
                <w:bCs w:val="0"/>
                <w:sz w:val="20"/>
                <w:szCs w:val="20"/>
                <w:lang w:eastAsia="lv-LV"/>
              </w:rPr>
            </w:pPr>
          </w:p>
        </w:tc>
        <w:tc>
          <w:tcPr>
            <w:tcW w:w="3510" w:type="dxa"/>
          </w:tcPr>
          <w:p w14:paraId="6BE8537E" w14:textId="6C793EBF"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 xml:space="preserve">Vērtē 1-5 punktu skalā. </w:t>
            </w:r>
          </w:p>
          <w:p w14:paraId="4AD7FD70"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Kritērijā jāsaņem vismaz 2 punkti</w:t>
            </w:r>
          </w:p>
        </w:tc>
      </w:tr>
      <w:tr w:rsidR="0051455A" w:rsidRPr="00A27FA0" w14:paraId="2203B3C8"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564157DF" w14:textId="77777777"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Pētījuma atbilstība kompetences centra pētniecības virzienam</w:t>
            </w:r>
          </w:p>
        </w:tc>
        <w:tc>
          <w:tcPr>
            <w:tcW w:w="3510" w:type="dxa"/>
          </w:tcPr>
          <w:p w14:paraId="391AFA2D" w14:textId="02691555"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lv-LV"/>
              </w:rPr>
            </w:pPr>
            <w:r w:rsidRPr="00A27FA0">
              <w:rPr>
                <w:rFonts w:ascii="Times New Roman" w:hAnsi="Times New Roman" w:cs="Times New Roman"/>
                <w:sz w:val="20"/>
                <w:szCs w:val="20"/>
                <w:lang w:eastAsia="lv-LV"/>
              </w:rPr>
              <w:t>Jā – 1; Nē - 0</w:t>
            </w:r>
          </w:p>
          <w:p w14:paraId="5AFC743A"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lv-LV"/>
              </w:rPr>
            </w:pPr>
            <w:r w:rsidRPr="00A27FA0">
              <w:rPr>
                <w:rFonts w:ascii="Times New Roman" w:hAnsi="Times New Roman" w:cs="Times New Roman"/>
                <w:sz w:val="20"/>
                <w:szCs w:val="20"/>
                <w:lang w:eastAsia="lv-LV"/>
              </w:rPr>
              <w:t>Kritērijs ir izslēdzošs</w:t>
            </w:r>
          </w:p>
        </w:tc>
      </w:tr>
      <w:tr w:rsidR="0051455A" w:rsidRPr="00A27FA0" w14:paraId="7FFF73EC"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0314C9EA" w14:textId="6D4C4D74" w:rsidR="0051455A" w:rsidRPr="00A27FA0" w:rsidRDefault="0051455A" w:rsidP="00776B0E">
            <w:pPr>
              <w:pStyle w:val="ListParagraph"/>
              <w:numPr>
                <w:ilvl w:val="0"/>
                <w:numId w:val="4"/>
              </w:numPr>
              <w:rPr>
                <w:b w:val="0"/>
                <w:bCs w:val="0"/>
                <w:sz w:val="20"/>
                <w:lang w:val="lv-LV" w:eastAsia="lv-LV"/>
              </w:rPr>
            </w:pPr>
            <w:r w:rsidRPr="00A27FA0">
              <w:rPr>
                <w:b w:val="0"/>
                <w:bCs w:val="0"/>
                <w:sz w:val="20"/>
                <w:lang w:val="lv-LV" w:eastAsia="lv-LV"/>
              </w:rPr>
              <w:t>Principa "nenodarīt būtisku kaitējumu" ievērošana</w:t>
            </w:r>
            <w:r w:rsidR="006752A7" w:rsidRPr="00A27FA0">
              <w:rPr>
                <w:b w:val="0"/>
                <w:bCs w:val="0"/>
                <w:sz w:val="20"/>
                <w:lang w:val="lv-LV" w:eastAsia="lv-LV"/>
              </w:rPr>
              <w:t>***</w:t>
            </w:r>
          </w:p>
        </w:tc>
        <w:tc>
          <w:tcPr>
            <w:tcW w:w="3510" w:type="dxa"/>
          </w:tcPr>
          <w:p w14:paraId="4D510B55" w14:textId="14641FBE"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lv-LV"/>
              </w:rPr>
            </w:pPr>
            <w:r w:rsidRPr="00A27FA0">
              <w:rPr>
                <w:rFonts w:ascii="Times New Roman" w:hAnsi="Times New Roman" w:cs="Times New Roman"/>
                <w:sz w:val="20"/>
                <w:szCs w:val="20"/>
                <w:lang w:eastAsia="lv-LV"/>
              </w:rPr>
              <w:t>Jā – 1; Nē - 0</w:t>
            </w:r>
          </w:p>
          <w:p w14:paraId="392C9FE9" w14:textId="77777777" w:rsidR="0051455A" w:rsidRPr="00A27FA0" w:rsidRDefault="0051455A" w:rsidP="00FD164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lv-LV"/>
              </w:rPr>
            </w:pPr>
            <w:r w:rsidRPr="00A27FA0">
              <w:rPr>
                <w:rFonts w:ascii="Times New Roman" w:hAnsi="Times New Roman" w:cs="Times New Roman"/>
                <w:sz w:val="20"/>
                <w:szCs w:val="20"/>
                <w:lang w:eastAsia="lv-LV"/>
              </w:rPr>
              <w:t>Kritērijs ir izslēdzošs</w:t>
            </w:r>
          </w:p>
        </w:tc>
      </w:tr>
      <w:tr w:rsidR="00C0606B" w:rsidRPr="00A27FA0" w14:paraId="2111200B"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4580F86E" w14:textId="1B381607" w:rsidR="00C0606B" w:rsidRPr="00A27FA0" w:rsidRDefault="00C0606B" w:rsidP="00C0606B">
            <w:pPr>
              <w:pStyle w:val="ListParagraph"/>
              <w:numPr>
                <w:ilvl w:val="0"/>
                <w:numId w:val="4"/>
              </w:numPr>
              <w:rPr>
                <w:b w:val="0"/>
                <w:bCs w:val="0"/>
                <w:sz w:val="20"/>
                <w:szCs w:val="22"/>
                <w:lang w:val="lv-LV" w:eastAsia="lv-LV"/>
              </w:rPr>
            </w:pPr>
            <w:r w:rsidRPr="00A27FA0">
              <w:rPr>
                <w:b w:val="0"/>
                <w:bCs w:val="0"/>
                <w:sz w:val="20"/>
                <w:szCs w:val="22"/>
                <w:lang w:val="lv-LV" w:eastAsia="lv-LV"/>
              </w:rPr>
              <w:t>Plānotas aktivitātes, kas nodrošina dabas resursu efektīvu un lietderīgu izmantošanu, samazinot izejvielu un enerģijas patēriņu, emisiju un atkritumu apjomu</w:t>
            </w:r>
          </w:p>
        </w:tc>
        <w:tc>
          <w:tcPr>
            <w:tcW w:w="3510" w:type="dxa"/>
          </w:tcPr>
          <w:p w14:paraId="51B1D253" w14:textId="77777777" w:rsidR="00C0606B" w:rsidRPr="00A27FA0" w:rsidRDefault="00C0606B" w:rsidP="00C060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eastAsia="lv-LV"/>
              </w:rPr>
            </w:pPr>
            <w:r w:rsidRPr="00A27FA0">
              <w:rPr>
                <w:rFonts w:ascii="Times New Roman" w:hAnsi="Times New Roman" w:cs="Times New Roman"/>
                <w:sz w:val="20"/>
                <w:lang w:eastAsia="lv-LV"/>
              </w:rPr>
              <w:t>Jā – 1; Nē - 0</w:t>
            </w:r>
          </w:p>
          <w:p w14:paraId="7FC76F98" w14:textId="2DDE9471" w:rsidR="00C0606B" w:rsidRPr="00A27FA0" w:rsidRDefault="00C0606B" w:rsidP="00C060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lang w:eastAsia="lv-LV"/>
              </w:rPr>
            </w:pPr>
            <w:r w:rsidRPr="00A27FA0">
              <w:rPr>
                <w:rFonts w:ascii="Times New Roman" w:hAnsi="Times New Roman" w:cs="Times New Roman"/>
                <w:sz w:val="20"/>
                <w:lang w:eastAsia="lv-LV"/>
              </w:rPr>
              <w:t>Kritērijs nav izslēdzošs</w:t>
            </w:r>
          </w:p>
        </w:tc>
      </w:tr>
      <w:tr w:rsidR="00C0606B" w:rsidRPr="00A27FA0" w14:paraId="20AFB7E5" w14:textId="77777777" w:rsidTr="0051455A">
        <w:tc>
          <w:tcPr>
            <w:cnfStyle w:val="001000000000" w:firstRow="0" w:lastRow="0" w:firstColumn="1" w:lastColumn="0" w:oddVBand="0" w:evenVBand="0" w:oddHBand="0" w:evenHBand="0" w:firstRowFirstColumn="0" w:firstRowLastColumn="0" w:lastRowFirstColumn="0" w:lastRowLastColumn="0"/>
            <w:tcW w:w="6385" w:type="dxa"/>
          </w:tcPr>
          <w:p w14:paraId="1020848F" w14:textId="77777777" w:rsidR="00C0606B" w:rsidRPr="00A27FA0" w:rsidRDefault="00C0606B" w:rsidP="00C0606B">
            <w:pPr>
              <w:ind w:left="720" w:hanging="360"/>
              <w:rPr>
                <w:rFonts w:ascii="Times New Roman" w:hAnsi="Times New Roman" w:cs="Times New Roman"/>
                <w:sz w:val="20"/>
                <w:szCs w:val="20"/>
                <w:lang w:eastAsia="lv-LV"/>
              </w:rPr>
            </w:pPr>
            <w:r w:rsidRPr="00A27FA0">
              <w:rPr>
                <w:rFonts w:ascii="Times New Roman" w:hAnsi="Times New Roman" w:cs="Times New Roman"/>
                <w:sz w:val="20"/>
                <w:szCs w:val="20"/>
                <w:lang w:eastAsia="lv-LV"/>
              </w:rPr>
              <w:t>Kopā</w:t>
            </w:r>
          </w:p>
        </w:tc>
        <w:tc>
          <w:tcPr>
            <w:tcW w:w="3510" w:type="dxa"/>
          </w:tcPr>
          <w:p w14:paraId="2DA15111" w14:textId="10231098" w:rsidR="00C0606B" w:rsidRPr="00A27FA0" w:rsidRDefault="00C0606B" w:rsidP="00C0606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lang w:eastAsia="lv-LV"/>
              </w:rPr>
            </w:pPr>
            <w:r w:rsidRPr="00A27FA0">
              <w:rPr>
                <w:rFonts w:ascii="Times New Roman" w:hAnsi="Times New Roman" w:cs="Times New Roman"/>
                <w:sz w:val="20"/>
                <w:szCs w:val="20"/>
                <w:lang w:eastAsia="lv-LV"/>
              </w:rPr>
              <w:t>(Max. 22 punkti)</w:t>
            </w:r>
          </w:p>
        </w:tc>
      </w:tr>
    </w:tbl>
    <w:p w14:paraId="102E80F2" w14:textId="77777777" w:rsidR="00776B0E" w:rsidRPr="00A27FA0" w:rsidRDefault="00776B0E" w:rsidP="00776B0E">
      <w:pPr>
        <w:pStyle w:val="ListParagraph"/>
        <w:spacing w:after="160" w:line="259" w:lineRule="auto"/>
        <w:ind w:left="229"/>
        <w:rPr>
          <w:lang w:val="lv-LV" w:eastAsia="lv-LV"/>
        </w:rPr>
      </w:pPr>
    </w:p>
    <w:p w14:paraId="7270981F" w14:textId="77777777" w:rsidR="000C08D6" w:rsidRPr="00A27FA0" w:rsidRDefault="000C08D6" w:rsidP="000C08D6">
      <w:pPr>
        <w:jc w:val="both"/>
        <w:rPr>
          <w:rFonts w:ascii="Times New Roman" w:hAnsi="Times New Roman" w:cs="Times New Roman"/>
          <w:i/>
          <w:iCs/>
        </w:rPr>
      </w:pPr>
      <w:r w:rsidRPr="00A27FA0">
        <w:rPr>
          <w:rFonts w:ascii="Times New Roman" w:hAnsi="Times New Roman" w:cs="Times New Roman"/>
        </w:rPr>
        <w:t xml:space="preserve">* </w:t>
      </w:r>
      <w:r w:rsidRPr="00A27FA0">
        <w:rPr>
          <w:rFonts w:ascii="Times New Roman" w:hAnsi="Times New Roman" w:cs="Times New Roman"/>
          <w:i/>
          <w:iCs/>
        </w:rPr>
        <w:t>Uzņēmējdarbības atklājuma princips ir augšupēja (turpmāk - bottom-up) plānošanas pieeja, kas balstās uz tirgus dalībnieku (uzņēmumu, augstākās izglītības iestāžu, pētniecības institūtu, pētnieku, neatkarīgu novatoru u.c.) iesaisti attīstības iespēju identificēšanā</w:t>
      </w:r>
    </w:p>
    <w:p w14:paraId="1FBEB69E" w14:textId="77777777" w:rsidR="000C08D6" w:rsidRPr="00A27FA0" w:rsidRDefault="000C08D6" w:rsidP="00C0606B">
      <w:pPr>
        <w:rPr>
          <w:rFonts w:ascii="Times New Roman" w:hAnsi="Times New Roman" w:cs="Times New Roman"/>
          <w:lang w:eastAsia="lv-LV"/>
        </w:rPr>
      </w:pPr>
    </w:p>
    <w:p w14:paraId="05B98C17" w14:textId="3395556C" w:rsidR="008E5259" w:rsidRPr="00A27FA0" w:rsidRDefault="000C08D6" w:rsidP="008E5259">
      <w:pPr>
        <w:rPr>
          <w:rFonts w:ascii="Times New Roman" w:hAnsi="Times New Roman" w:cs="Times New Roman"/>
          <w:b/>
          <w:bCs/>
        </w:rPr>
      </w:pPr>
      <w:r w:rsidRPr="00A27FA0">
        <w:rPr>
          <w:rFonts w:ascii="Times New Roman" w:hAnsi="Times New Roman" w:cs="Times New Roman"/>
          <w:b/>
          <w:bCs/>
          <w:lang w:eastAsia="lv-LV"/>
        </w:rPr>
        <w:t>*</w:t>
      </w:r>
      <w:r w:rsidR="008E5259" w:rsidRPr="00A27FA0">
        <w:rPr>
          <w:rFonts w:ascii="Times New Roman" w:hAnsi="Times New Roman" w:cs="Times New Roman"/>
          <w:b/>
          <w:bCs/>
          <w:lang w:eastAsia="lv-LV"/>
        </w:rPr>
        <w:t>*</w:t>
      </w:r>
      <w:r w:rsidR="008E5259" w:rsidRPr="00A27FA0">
        <w:rPr>
          <w:rFonts w:ascii="Times New Roman" w:hAnsi="Times New Roman" w:cs="Times New Roman"/>
          <w:b/>
          <w:bCs/>
        </w:rPr>
        <w:t xml:space="preserve"> TEHNOLOĢIJU GATAVĪBAS LĪMEŅI </w:t>
      </w:r>
    </w:p>
    <w:p w14:paraId="3A3FF2D9"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1 – Izzināti dabas likumi: zinātniskā pētījuma rezultāti ļauj uzsākt lietišķās pētniecības un tehnoloģijas attīstības darbus.</w:t>
      </w:r>
    </w:p>
    <w:p w14:paraId="425433EB"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2 – Formulēta tehnoloģijas praktiskā lietojuma koncepcija.</w:t>
      </w:r>
    </w:p>
    <w:p w14:paraId="335883FB"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3 – Koncepcijas eksperimentālā pārbaude: uzsākta izpēte un izstrāde (analītiskie/laboratorijas pētījumi), lai apstiprinātu prognozes par tehnoloģijas komponentēm.</w:t>
      </w:r>
    </w:p>
    <w:p w14:paraId="65CC0434"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lastRenderedPageBreak/>
        <w:t>Tehnoloģiju gatavības līmenis/TRL 4 – Tehnoloģijas validācija laboratorijas vidē: veikta galveno tehnoloģisko komponentu integrācija, lai pārbaudīto to kopdarbību laboratorijas vidē.</w:t>
      </w:r>
    </w:p>
    <w:p w14:paraId="5ECA3ECB"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5 – Tehnoloģijas validācija mākslīgi radītā vidē: tehnoloģiskie komponenti ir integrēti ar samērā reāliem atbalsta elementiem, lai tehnoloģiju var pārbaudīt mākslīgi radītā vidē.</w:t>
      </w:r>
    </w:p>
    <w:p w14:paraId="0FD7CDE9"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6 – Tehnoloģijas demonstrācijā mākslīgi radītā vidē: sistēmas modelis vai prototips ir pārbaudīts mākslīgi radītā vidē.</w:t>
      </w:r>
    </w:p>
    <w:p w14:paraId="65032727"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7 – Sistēmas prototipa demonstrācija darbības vidē: sistēmas prototips, kas atbilst vai tikai minimāli atšķiras no plānotās sistēmas, ir pārbaudīts reālās darbības vidē.</w:t>
      </w:r>
    </w:p>
    <w:p w14:paraId="4501F642"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8 – Sistēma ir pabeigta un pārbaudīta: ir pierādīts, ka tehnoloģija darbojas tās galīgajā formā un plānotajos apstākļos (pēdējais tehnoloģijas attīstības līmenis).</w:t>
      </w:r>
    </w:p>
    <w:p w14:paraId="77511BD0" w14:textId="77777777" w:rsidR="008E5259" w:rsidRPr="00A27FA0" w:rsidRDefault="008E5259" w:rsidP="008E5259">
      <w:pPr>
        <w:pStyle w:val="ListParagraph"/>
        <w:numPr>
          <w:ilvl w:val="0"/>
          <w:numId w:val="33"/>
        </w:numPr>
        <w:jc w:val="both"/>
        <w:rPr>
          <w:sz w:val="22"/>
          <w:szCs w:val="22"/>
          <w:lang w:val="lv-LV" w:eastAsia="lv-LV"/>
        </w:rPr>
      </w:pPr>
      <w:r w:rsidRPr="00A27FA0">
        <w:rPr>
          <w:sz w:val="22"/>
          <w:szCs w:val="22"/>
          <w:lang w:val="lv-LV" w:eastAsia="lv-LV"/>
        </w:rPr>
        <w:t>Tehnoloģiju gatavības līmenis/TRL 9 – Sekmīga sistēmas ekspluatācija.</w:t>
      </w:r>
    </w:p>
    <w:p w14:paraId="484CB193" w14:textId="7DA4F298" w:rsidR="008E5259" w:rsidRPr="00A27FA0" w:rsidRDefault="008E5259" w:rsidP="008E5259">
      <w:pPr>
        <w:jc w:val="both"/>
        <w:rPr>
          <w:rFonts w:ascii="Times New Roman" w:hAnsi="Times New Roman" w:cs="Times New Roman"/>
          <w:lang w:eastAsia="lv-LV"/>
        </w:rPr>
      </w:pPr>
      <w:r w:rsidRPr="00A27FA0">
        <w:rPr>
          <w:rFonts w:ascii="Times New Roman" w:hAnsi="Times New Roman" w:cs="Times New Roman"/>
          <w:lang w:eastAsia="lv-LV"/>
        </w:rPr>
        <w:t>Fundamentālie pētījumi parasti atbilst tehnoloģiju gatavības 1. līmenim. Rūpnieciskie pētījumi parasti atbilst tehnoloģiju gatavības 2.–4. līmenim. Eksperimentālā izstrāde parasti atbilst tehnoloģiju gatavības 5.–8. līmenim.</w:t>
      </w:r>
    </w:p>
    <w:p w14:paraId="5A9BDA78" w14:textId="77777777" w:rsidR="007C03FC" w:rsidRPr="00A27FA0" w:rsidRDefault="007C03FC" w:rsidP="008E5259">
      <w:pPr>
        <w:jc w:val="both"/>
        <w:rPr>
          <w:rFonts w:ascii="Times New Roman" w:hAnsi="Times New Roman" w:cs="Times New Roman"/>
          <w:lang w:eastAsia="lv-LV"/>
        </w:rPr>
      </w:pPr>
    </w:p>
    <w:p w14:paraId="1482EC23" w14:textId="77777777" w:rsidR="007C03FC" w:rsidRPr="00A27FA0" w:rsidRDefault="007C03FC" w:rsidP="007C03FC">
      <w:pPr>
        <w:rPr>
          <w:rFonts w:ascii="Times New Roman" w:hAnsi="Times New Roman" w:cs="Times New Roman"/>
          <w:i/>
          <w:iCs/>
          <w:lang w:eastAsia="lv-LV"/>
        </w:rPr>
      </w:pPr>
      <w:r w:rsidRPr="00A27FA0">
        <w:rPr>
          <w:rFonts w:ascii="Times New Roman" w:hAnsi="Times New Roman" w:cs="Times New Roman"/>
          <w:b/>
          <w:bCs/>
          <w:i/>
          <w:iCs/>
          <w:lang w:eastAsia="lv-LV"/>
        </w:rPr>
        <w:t>*** Principa "nenodarīt būtisku kaitējumu" ievērošana</w:t>
      </w:r>
      <w:r w:rsidRPr="00A27FA0">
        <w:rPr>
          <w:rFonts w:ascii="Times New Roman" w:hAnsi="Times New Roman" w:cs="Times New Roman"/>
          <w:i/>
          <w:iCs/>
          <w:lang w:eastAsia="lv-LV"/>
        </w:rPr>
        <w:t>:</w:t>
      </w:r>
    </w:p>
    <w:p w14:paraId="7DA9C890" w14:textId="77777777" w:rsidR="007C03FC" w:rsidRPr="00A27FA0" w:rsidRDefault="007C03FC" w:rsidP="007C03FC">
      <w:pPr>
        <w:spacing w:before="120"/>
        <w:jc w:val="both"/>
        <w:rPr>
          <w:rFonts w:ascii="Times New Roman" w:eastAsiaTheme="minorEastAsia" w:hAnsi="Times New Roman" w:cs="Times New Roman"/>
          <w:i/>
          <w:iCs/>
        </w:rPr>
      </w:pPr>
      <w:r w:rsidRPr="00A27FA0">
        <w:rPr>
          <w:rFonts w:ascii="Times New Roman" w:eastAsiaTheme="minorEastAsia" w:hAnsi="Times New Roman" w:cs="Times New Roman"/>
          <w:i/>
          <w:iCs/>
        </w:rPr>
        <w:t>Kritērijs tiek vērtēts atbilstoši principam "nenodarīt būtisku kaitējumu" saskaņā ar Eiropas Parlamenta un Padomes 2021. gada 12. februāra Regulas (ES) 2021/241, ar ko izveido Atveseļošanas un noturības mehānismu (turpmāk– regula 2021/241), 2. panta 6. punktā norādītajiem kritērijiem.</w:t>
      </w:r>
    </w:p>
    <w:p w14:paraId="758031F2" w14:textId="77777777" w:rsidR="007C03FC" w:rsidRPr="00A27FA0" w:rsidRDefault="007C03FC" w:rsidP="007C03FC">
      <w:pPr>
        <w:spacing w:before="120"/>
        <w:jc w:val="both"/>
        <w:rPr>
          <w:rFonts w:ascii="Times New Roman" w:eastAsiaTheme="minorEastAsia" w:hAnsi="Times New Roman" w:cs="Times New Roman"/>
          <w:i/>
          <w:iCs/>
        </w:rPr>
      </w:pPr>
      <w:r w:rsidRPr="00A27FA0">
        <w:rPr>
          <w:rFonts w:ascii="Times New Roman" w:eastAsiaTheme="minorEastAsia" w:hAnsi="Times New Roman" w:cs="Times New Roman"/>
          <w:i/>
          <w:iCs/>
        </w:rPr>
        <w:t>Kritērijā tiek piemēro</w:t>
      </w:r>
      <w:r w:rsidRPr="00A27FA0">
        <w:rPr>
          <w:rFonts w:ascii="Times New Roman" w:hAnsi="Times New Roman" w:cs="Times New Roman"/>
          <w:i/>
          <w:iCs/>
        </w:rPr>
        <w:t>t</w:t>
      </w:r>
      <w:r w:rsidRPr="00A27FA0">
        <w:rPr>
          <w:rFonts w:ascii="Times New Roman" w:eastAsiaTheme="minorEastAsia" w:hAnsi="Times New Roman" w:cs="Times New Roman"/>
          <w:i/>
          <w:iCs/>
        </w:rPr>
        <w:t>s vērtējums “Nē - 0”, ja ņemot vērā pētniecības laikā vai projekta rezultātā radīto produktu un pakalpojumu aprites ciklu, tostarp atziņas, kas gūtas no esošiem aprites cikla izvērtējumiem, paredzētas sekojošas vidai kaitējošas darbības:</w:t>
      </w:r>
    </w:p>
    <w:p w14:paraId="52091802"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kas saistītas ar fosilo kurināmo, tostarp tā pakārtotu izmantošanu, tai skaitā projektiem elektroenerģijas vai siltuma ražošanā, kā arī saistīto pārvades un sadales infrastruktūru, izmantojot dabasgāzi;</w:t>
      </w:r>
    </w:p>
    <w:p w14:paraId="41EAF1BF"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kas saistītas ar siltumnīcefekta gāzu emisiju radīšanu (izņemot gadījumus, ja projekta iesniedzējs ir saņēmis atļauju šo darbību veikšanai);</w:t>
      </w:r>
    </w:p>
    <w:p w14:paraId="6D49113D"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kas saistītas ar atkritumu poligoniem (izņemot gadījumus, ja projekta iesniedzējs ir saņēmis atļauju šo darbību veikšanai), sadedzināšanas iekārtām un mehāniski bioloģiskās apstrādes iekārtām;</w:t>
      </w:r>
    </w:p>
    <w:p w14:paraId="27273DBC"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kas saistītas ar atkritumu savākšanas, uzglabāšanas, apstrādes, pārstrādes un apglabāšanas iekārtu un to programmatūru iegādi un nomu;</w:t>
      </w:r>
    </w:p>
    <w:p w14:paraId="2778106B"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lastRenderedPageBreak/>
        <w:t>kas kaitē aprites ekonomikai, tostarp atkritumu rašanās novēršanai un reciklēšanai, vienā vai vairākos produktu aprites cikla posmos radot būtiskus efektivitātes trūkumus materiālu izmantošanā vai tādu dabas resursu tiešā vai netiešā izmantošanā kā neatjaunojami energoresursi, izejvielas, ūdens un zeme, tostarp produktu ilgizturības, remontējamības, modernizējamības, atkārtotas lietojamības vai reciklējamības ziņā (izņemot gadījumus, ja projekta iesniedzējs ir saņēmis atļauju šo darbību veikšanai);</w:t>
      </w:r>
    </w:p>
    <w:p w14:paraId="441A9869"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kas kaitē vides piesārņojuma novēršanai un kontrolei (izņemot gadījumus, ja projekta iesniedzējs ir saņēmis atļauju šo darbību veikšanai);</w:t>
      </w:r>
    </w:p>
    <w:p w14:paraId="4B55CF2F"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 xml:space="preserve">kas kaitē bioloģiskās daudzveidības un ekosistēmu aizsardzībai un atjaunošanai, ja minētā darbība kaitē labam ekosistēmu stāvoklim un izturētspējai, vai kaitē dzīvotņu un sugu, tostarp Eiropas Savienības nozīmes dzīvotņu un sugu, aizsardzības statusam (izņemot gadījumus, ja atbalsta saņēmējs ir saņēmis atļauju šo darbību veikšanai); </w:t>
      </w:r>
    </w:p>
    <w:p w14:paraId="35FA0C27" w14:textId="77777777" w:rsidR="007C03FC" w:rsidRPr="00A27FA0" w:rsidRDefault="007C03FC" w:rsidP="007C03FC">
      <w:pPr>
        <w:keepLines/>
        <w:numPr>
          <w:ilvl w:val="0"/>
          <w:numId w:val="12"/>
        </w:numPr>
        <w:tabs>
          <w:tab w:val="left" w:pos="851"/>
        </w:tabs>
        <w:spacing w:before="120" w:line="256" w:lineRule="auto"/>
        <w:ind w:right="543"/>
        <w:jc w:val="both"/>
        <w:rPr>
          <w:rFonts w:ascii="Times New Roman" w:eastAsia="Segoe UI" w:hAnsi="Times New Roman" w:cs="Times New Roman"/>
          <w:i/>
          <w:iCs/>
        </w:rPr>
      </w:pPr>
      <w:r w:rsidRPr="00A27FA0">
        <w:rPr>
          <w:rFonts w:ascii="Times New Roman" w:eastAsia="Segoe UI" w:hAnsi="Times New Roman" w:cs="Times New Roman"/>
          <w:i/>
          <w:iCs/>
        </w:rPr>
        <w:t>saskaņā ar kvotu tirdzniecības sistēmu, lai sasniegtu prognozētās CO2 emisijas.</w:t>
      </w:r>
    </w:p>
    <w:p w14:paraId="54B0F1FC" w14:textId="77777777" w:rsidR="007C03FC" w:rsidRPr="00A27FA0" w:rsidRDefault="007C03FC" w:rsidP="007C03FC">
      <w:pPr>
        <w:jc w:val="both"/>
        <w:rPr>
          <w:rFonts w:ascii="Times New Roman" w:eastAsia="Segoe UI" w:hAnsi="Times New Roman" w:cs="Times New Roman"/>
          <w:i/>
          <w:iCs/>
        </w:rPr>
      </w:pPr>
      <w:r w:rsidRPr="00A27FA0">
        <w:rPr>
          <w:rFonts w:ascii="Times New Roman" w:eastAsia="Segoe UI" w:hAnsi="Times New Roman" w:cs="Times New Roman"/>
          <w:i/>
          <w:iCs/>
        </w:rPr>
        <w:t>Kritērijā tiek piemērots vērtējums “Jā - 1”, ja, ņemot vērā pētniecības laikā vai projekta rezultātā radīto produktu un pakalpojumu aprites ciklu, tostarp atziņas, kas gūtas no esošiem aprites cikla izvērtējumiem, uzskata, ka minētā darbība būtiski nekaitē norādītajiem kritērijiem.</w:t>
      </w:r>
    </w:p>
    <w:p w14:paraId="234024C5" w14:textId="77777777" w:rsidR="007C03FC" w:rsidRPr="00A27FA0" w:rsidRDefault="007C03FC" w:rsidP="007C03FC">
      <w:pPr>
        <w:jc w:val="both"/>
        <w:rPr>
          <w:rFonts w:ascii="Times New Roman" w:hAnsi="Times New Roman" w:cs="Times New Roman"/>
          <w:i/>
          <w:iCs/>
          <w:lang w:eastAsia="lv-LV"/>
        </w:rPr>
      </w:pPr>
      <w:r w:rsidRPr="00A27FA0">
        <w:rPr>
          <w:rFonts w:ascii="Times New Roman" w:eastAsia="Segoe UI" w:hAnsi="Times New Roman" w:cs="Times New Roman"/>
          <w:i/>
          <w:iCs/>
        </w:rPr>
        <w:t>Novērtējot darbību pēc izklāstītajiem kritērijiem, ņem vērā gan pašas darbības ietekmi uz vidi, gan minētās darbības radīto produktu un pakalpojumu ietekmi uz vidi visā to aprites ciklā, jo īpaši apsverot minēto produktu un pakalpojumu ražošanu, izmantošanu un aprites cikla beigas.</w:t>
      </w:r>
    </w:p>
    <w:p w14:paraId="50578A7C" w14:textId="77777777" w:rsidR="00552E18" w:rsidRPr="00A27FA0" w:rsidRDefault="00552E18" w:rsidP="00552E18">
      <w:pPr>
        <w:jc w:val="both"/>
        <w:rPr>
          <w:rFonts w:eastAsia="Calibri"/>
          <w:bCs/>
          <w:lang w:eastAsia="lv-LV"/>
        </w:rPr>
      </w:pPr>
      <w:r w:rsidRPr="00A27FA0">
        <w:rPr>
          <w:rFonts w:eastAsia="Calibri"/>
          <w:bCs/>
          <w:lang w:eastAsia="lv-LV"/>
        </w:rPr>
        <w:t xml:space="preserve">Horizontālā principa “Ilgtspējīga attīstība” nodrošināšana, papildus punktus piešķirot pētniecības projektiem par eko-inovatīvu (dabai draudzīgu) tehnoloģiju attīstību un ieviešanu. Punktu piešķir, ja pētījumu ietvaros tiks veicināta vides piesārņojuma mazināšanās vai esošā stāvokļa saglabāšanās, ir noteiktas darbības negatīvas ietekmes uz vidi novēršanai vai samazināšanai. </w:t>
      </w:r>
    </w:p>
    <w:p w14:paraId="387DC8D3" w14:textId="77777777" w:rsidR="00552E18" w:rsidRPr="00A27FA0" w:rsidRDefault="00552E18" w:rsidP="00272954">
      <w:pPr>
        <w:jc w:val="both"/>
        <w:rPr>
          <w:rFonts w:ascii="Times New Roman" w:hAnsi="Times New Roman" w:cs="Times New Roman"/>
        </w:rPr>
      </w:pPr>
    </w:p>
    <w:p w14:paraId="63157298" w14:textId="0F6533B8" w:rsidR="00776B0E" w:rsidRPr="00A27FA0" w:rsidRDefault="00776B0E" w:rsidP="00272954">
      <w:pPr>
        <w:jc w:val="both"/>
        <w:rPr>
          <w:rFonts w:ascii="Times New Roman" w:hAnsi="Times New Roman" w:cs="Times New Roman"/>
        </w:rPr>
      </w:pPr>
      <w:r w:rsidRPr="00A27FA0">
        <w:rPr>
          <w:rFonts w:ascii="Times New Roman" w:hAnsi="Times New Roman" w:cs="Times New Roman"/>
        </w:rPr>
        <w:t xml:space="preserve">Projektus vērtē </w:t>
      </w:r>
      <w:r w:rsidR="002315A8" w:rsidRPr="00A27FA0">
        <w:rPr>
          <w:rFonts w:ascii="Times New Roman" w:hAnsi="Times New Roman" w:cs="Times New Roman"/>
        </w:rPr>
        <w:t xml:space="preserve">PPVK </w:t>
      </w:r>
      <w:r w:rsidRPr="00A27FA0">
        <w:rPr>
          <w:rFonts w:ascii="Times New Roman" w:hAnsi="Times New Roman" w:cs="Times New Roman"/>
        </w:rPr>
        <w:t>eksperti, katru projektu izskatot kompleksi.</w:t>
      </w:r>
    </w:p>
    <w:p w14:paraId="0CC203C9" w14:textId="24ADEF0E" w:rsidR="00FB49D8" w:rsidRPr="00A27FA0" w:rsidRDefault="00FB49D8" w:rsidP="00272954">
      <w:pPr>
        <w:jc w:val="both"/>
        <w:rPr>
          <w:rFonts w:ascii="Times New Roman" w:hAnsi="Times New Roman" w:cs="Times New Roman"/>
        </w:rPr>
      </w:pPr>
      <w:r w:rsidRPr="00A27FA0">
        <w:rPr>
          <w:rFonts w:ascii="Times New Roman" w:hAnsi="Times New Roman" w:cs="Times New Roman"/>
        </w:rPr>
        <w:t>LPKC iesniegto projektu izvērtēšanā būs būtiska loma digitalizācijai un zaļā kursa ievērošanai.</w:t>
      </w:r>
    </w:p>
    <w:p w14:paraId="70D5A562" w14:textId="3429462B" w:rsidR="00776B0E" w:rsidRPr="00A27FA0" w:rsidRDefault="00776B0E" w:rsidP="00272954">
      <w:pPr>
        <w:jc w:val="both"/>
        <w:rPr>
          <w:rFonts w:ascii="Times New Roman" w:hAnsi="Times New Roman" w:cs="Times New Roman"/>
        </w:rPr>
      </w:pPr>
      <w:r w:rsidRPr="00A27FA0">
        <w:rPr>
          <w:rFonts w:ascii="Times New Roman" w:hAnsi="Times New Roman" w:cs="Times New Roman"/>
        </w:rPr>
        <w:t>Atlases posmā projekti tiek izvērtēti 3 kategorijās</w:t>
      </w:r>
      <w:r w:rsidR="00A32E03" w:rsidRPr="00A27FA0">
        <w:rPr>
          <w:rFonts w:ascii="Times New Roman" w:hAnsi="Times New Roman" w:cs="Times New Roman"/>
        </w:rPr>
        <w:t>, kurās katram vērtējumam jāsasniedz vērtība vismaz 2, skalā no 1 līdz 5.</w:t>
      </w:r>
      <w:r w:rsidR="002D6182" w:rsidRPr="00A27FA0">
        <w:rPr>
          <w:rFonts w:ascii="Times New Roman" w:hAnsi="Times New Roman" w:cs="Times New Roman"/>
        </w:rPr>
        <w:t xml:space="preserve">  Kritērijā lielāku punktu skaitu var saņemt, ja augošā secībā tiek izpildīti zemāko punktu kritēriji.</w:t>
      </w:r>
    </w:p>
    <w:p w14:paraId="4F36A393" w14:textId="3D3B2CEC" w:rsidR="00776B0E" w:rsidRPr="00A27FA0" w:rsidRDefault="00776B0E" w:rsidP="00272954">
      <w:pPr>
        <w:jc w:val="both"/>
        <w:rPr>
          <w:rFonts w:ascii="Times New Roman" w:hAnsi="Times New Roman" w:cs="Times New Roman"/>
        </w:rPr>
      </w:pPr>
      <w:r w:rsidRPr="00A27FA0">
        <w:rPr>
          <w:rFonts w:ascii="Times New Roman" w:hAnsi="Times New Roman" w:cs="Times New Roman"/>
        </w:rPr>
        <w:t>Ņemot vērā, ka inovāciju projekti ir saistīti ir ievērojamu kompetenci projekta realizētāja pusē un specifiskām tirgus zināšanām tiek salīdzināti tikai vienlaicīgi – vienā kārtā vērtētie projekti. T.i. ja projekts tiek pārcelts uz nākošo zinātnisko padomi, tas atkal tiek salīdzināts ar visiem pieteiktajiem projektiem un tam punkti tiek novērtēti no jauna. Šādas sistēmas mērķis ir atlasīt projektus, kas visticamāk sasniegs Kompetences centra un programmas mērķus un nodrošinās vislabākos rādītājus.</w:t>
      </w:r>
    </w:p>
    <w:p w14:paraId="43DDDAC6" w14:textId="77777777" w:rsidR="002104EA" w:rsidRPr="00A27FA0" w:rsidRDefault="002104EA" w:rsidP="002104EA">
      <w:pPr>
        <w:jc w:val="both"/>
        <w:rPr>
          <w:rFonts w:ascii="Times New Roman" w:hAnsi="Times New Roman" w:cs="Times New Roman"/>
          <w:lang w:eastAsia="lv-LV"/>
        </w:rPr>
      </w:pPr>
      <w:r w:rsidRPr="00A27FA0">
        <w:rPr>
          <w:rFonts w:ascii="Times New Roman" w:hAnsi="Times New Roman" w:cs="Times New Roman"/>
          <w:lang w:eastAsia="lv-LV"/>
        </w:rPr>
        <w:t xml:space="preserve">Pētījuma </w:t>
      </w:r>
      <w:r w:rsidRPr="00A27FA0">
        <w:rPr>
          <w:rFonts w:ascii="Times New Roman" w:hAnsi="Times New Roman" w:cs="Times New Roman"/>
          <w:i/>
          <w:iCs/>
          <w:u w:val="single"/>
          <w:lang w:eastAsia="lv-LV"/>
        </w:rPr>
        <w:t>kvalitātes</w:t>
      </w:r>
      <w:r w:rsidRPr="00A27FA0">
        <w:rPr>
          <w:rFonts w:ascii="Times New Roman" w:hAnsi="Times New Roman" w:cs="Times New Roman"/>
          <w:lang w:eastAsia="lv-LV"/>
        </w:rPr>
        <w:t xml:space="preserve"> vērtējums (Vērtē 1-5 punktu skalā; Kritērijā jāsaņem vismaz 2 punkti):</w:t>
      </w:r>
    </w:p>
    <w:tbl>
      <w:tblPr>
        <w:tblStyle w:val="GridTable1Light-Accent1"/>
        <w:tblW w:w="8642" w:type="dxa"/>
        <w:tblLook w:val="04A0" w:firstRow="1" w:lastRow="0" w:firstColumn="1" w:lastColumn="0" w:noHBand="0" w:noVBand="1"/>
      </w:tblPr>
      <w:tblGrid>
        <w:gridCol w:w="675"/>
        <w:gridCol w:w="3031"/>
        <w:gridCol w:w="791"/>
        <w:gridCol w:w="650"/>
        <w:gridCol w:w="2645"/>
        <w:gridCol w:w="850"/>
      </w:tblGrid>
      <w:tr w:rsidR="003E2E93" w:rsidRPr="00A27FA0" w14:paraId="18B02450" w14:textId="77777777" w:rsidTr="004E718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642" w:type="dxa"/>
            <w:gridSpan w:val="6"/>
            <w:noWrap/>
            <w:hideMark/>
          </w:tcPr>
          <w:p w14:paraId="05B8AC21"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lastRenderedPageBreak/>
              <w:t>Pētījuma kvalitāte</w:t>
            </w:r>
          </w:p>
        </w:tc>
      </w:tr>
      <w:tr w:rsidR="003E2E93" w:rsidRPr="00A27FA0" w14:paraId="298A503F" w14:textId="77777777" w:rsidTr="004E718C">
        <w:trPr>
          <w:trHeight w:val="816"/>
        </w:trPr>
        <w:tc>
          <w:tcPr>
            <w:cnfStyle w:val="001000000000" w:firstRow="0" w:lastRow="0" w:firstColumn="1" w:lastColumn="0" w:oddVBand="0" w:evenVBand="0" w:oddHBand="0" w:evenHBand="0" w:firstRowFirstColumn="0" w:firstRowLastColumn="0" w:lastRowFirstColumn="0" w:lastRowLastColumn="0"/>
            <w:tcW w:w="650" w:type="dxa"/>
            <w:noWrap/>
            <w:hideMark/>
          </w:tcPr>
          <w:p w14:paraId="386DDEFD"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t>Npk.</w:t>
            </w:r>
          </w:p>
        </w:tc>
        <w:tc>
          <w:tcPr>
            <w:tcW w:w="3031" w:type="dxa"/>
            <w:hideMark/>
          </w:tcPr>
          <w:p w14:paraId="6A106626"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Pienesums Pārtikas nozarē kopumā</w:t>
            </w:r>
          </w:p>
        </w:tc>
        <w:tc>
          <w:tcPr>
            <w:tcW w:w="791" w:type="dxa"/>
            <w:noWrap/>
            <w:hideMark/>
          </w:tcPr>
          <w:p w14:paraId="122BC2A2"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Punkti</w:t>
            </w:r>
          </w:p>
        </w:tc>
        <w:tc>
          <w:tcPr>
            <w:tcW w:w="650" w:type="dxa"/>
            <w:noWrap/>
            <w:hideMark/>
          </w:tcPr>
          <w:p w14:paraId="33D679E0"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Npk.</w:t>
            </w:r>
          </w:p>
        </w:tc>
        <w:tc>
          <w:tcPr>
            <w:tcW w:w="2670" w:type="dxa"/>
            <w:hideMark/>
          </w:tcPr>
          <w:p w14:paraId="460E429E"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Pienesums patiesā labuma guvējam pārtikas nozarē </w:t>
            </w:r>
          </w:p>
        </w:tc>
        <w:tc>
          <w:tcPr>
            <w:tcW w:w="850" w:type="dxa"/>
            <w:noWrap/>
            <w:hideMark/>
          </w:tcPr>
          <w:p w14:paraId="2C1E82BD"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Punkti</w:t>
            </w:r>
          </w:p>
        </w:tc>
      </w:tr>
      <w:tr w:rsidR="003E2E93" w:rsidRPr="00A27FA0" w14:paraId="7F494B86" w14:textId="77777777" w:rsidTr="004E718C">
        <w:trPr>
          <w:trHeight w:val="1550"/>
        </w:trPr>
        <w:tc>
          <w:tcPr>
            <w:cnfStyle w:val="001000000000" w:firstRow="0" w:lastRow="0" w:firstColumn="1" w:lastColumn="0" w:oddVBand="0" w:evenVBand="0" w:oddHBand="0" w:evenHBand="0" w:firstRowFirstColumn="0" w:firstRowLastColumn="0" w:lastRowFirstColumn="0" w:lastRowLastColumn="0"/>
            <w:tcW w:w="650" w:type="dxa"/>
            <w:noWrap/>
            <w:hideMark/>
          </w:tcPr>
          <w:p w14:paraId="3A355495"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t>1.1</w:t>
            </w:r>
          </w:p>
        </w:tc>
        <w:tc>
          <w:tcPr>
            <w:tcW w:w="3031" w:type="dxa"/>
            <w:hideMark/>
          </w:tcPr>
          <w:p w14:paraId="2AFAADD9"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Globālā līmenī oriģinālprodukts vai oriģināltehnolģija (tehnoloģija/ ko var pielietot  daudzi nozares dalībnieki), patentspējīgs produkts vai eksistē patenta pieteikums</w:t>
            </w:r>
          </w:p>
        </w:tc>
        <w:tc>
          <w:tcPr>
            <w:tcW w:w="791" w:type="dxa"/>
            <w:noWrap/>
            <w:hideMark/>
          </w:tcPr>
          <w:p w14:paraId="6DEC2FE0"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5</w:t>
            </w:r>
          </w:p>
        </w:tc>
        <w:tc>
          <w:tcPr>
            <w:tcW w:w="650" w:type="dxa"/>
            <w:noWrap/>
            <w:hideMark/>
          </w:tcPr>
          <w:p w14:paraId="18F5A09C"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2.1</w:t>
            </w:r>
          </w:p>
        </w:tc>
        <w:tc>
          <w:tcPr>
            <w:tcW w:w="2670" w:type="dxa"/>
            <w:hideMark/>
          </w:tcPr>
          <w:p w14:paraId="221F3A72"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Nišas orģinālprodukts vai tehnoloģija, kas risina aktuālas nišas problēmas ar augstu komercializācijas potenciālu</w:t>
            </w:r>
          </w:p>
        </w:tc>
        <w:tc>
          <w:tcPr>
            <w:tcW w:w="850" w:type="dxa"/>
            <w:noWrap/>
            <w:hideMark/>
          </w:tcPr>
          <w:p w14:paraId="2311DC9E"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5</w:t>
            </w:r>
          </w:p>
        </w:tc>
      </w:tr>
      <w:tr w:rsidR="003E2E93" w:rsidRPr="00A27FA0" w14:paraId="7292732A" w14:textId="77777777" w:rsidTr="004E718C">
        <w:trPr>
          <w:trHeight w:val="2400"/>
        </w:trPr>
        <w:tc>
          <w:tcPr>
            <w:cnfStyle w:val="001000000000" w:firstRow="0" w:lastRow="0" w:firstColumn="1" w:lastColumn="0" w:oddVBand="0" w:evenVBand="0" w:oddHBand="0" w:evenHBand="0" w:firstRowFirstColumn="0" w:firstRowLastColumn="0" w:lastRowFirstColumn="0" w:lastRowLastColumn="0"/>
            <w:tcW w:w="650" w:type="dxa"/>
            <w:noWrap/>
            <w:hideMark/>
          </w:tcPr>
          <w:p w14:paraId="39E34160"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t>1.2</w:t>
            </w:r>
          </w:p>
        </w:tc>
        <w:tc>
          <w:tcPr>
            <w:tcW w:w="3031" w:type="dxa"/>
            <w:hideMark/>
          </w:tcPr>
          <w:p w14:paraId="5E4FD6B7"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Jauns, inovatīvs produkts vai tehnoloģija, kuram identificējama novitāte </w:t>
            </w:r>
            <w:r w:rsidRPr="00A27FA0">
              <w:rPr>
                <w:rFonts w:ascii="Times New Roman" w:hAnsi="Times New Roman" w:cs="Times New Roman"/>
                <w:u w:val="single"/>
                <w:lang w:eastAsia="lv-LV"/>
              </w:rPr>
              <w:t xml:space="preserve">vai </w:t>
            </w:r>
            <w:r w:rsidRPr="00A27FA0">
              <w:rPr>
                <w:rFonts w:ascii="Times New Roman" w:hAnsi="Times New Roman" w:cs="Times New Roman"/>
                <w:lang w:eastAsia="lv-LV"/>
              </w:rPr>
              <w:t>produkts vai tehnoloģija ir esošās līnijas vai atsevišķa produkta atvasinājums, bet pētījumā papildus tiek nodrošināts vismaz 1 no šādiem aspektiem: a) doktorantu iesaiste; b) starptautiska sadarbība; c) starpnozaru sadarbība</w:t>
            </w:r>
          </w:p>
        </w:tc>
        <w:tc>
          <w:tcPr>
            <w:tcW w:w="791" w:type="dxa"/>
            <w:noWrap/>
            <w:hideMark/>
          </w:tcPr>
          <w:p w14:paraId="37ED1853"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4</w:t>
            </w:r>
          </w:p>
        </w:tc>
        <w:tc>
          <w:tcPr>
            <w:tcW w:w="650" w:type="dxa"/>
            <w:noWrap/>
            <w:hideMark/>
          </w:tcPr>
          <w:p w14:paraId="1DCB0CEF"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2.2</w:t>
            </w:r>
          </w:p>
        </w:tc>
        <w:tc>
          <w:tcPr>
            <w:tcW w:w="2670" w:type="dxa"/>
            <w:hideMark/>
          </w:tcPr>
          <w:p w14:paraId="11BBEC11"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Inovatīvs nišas produkts, kas risina aktuālas nišas problēmas, bet ar vidēju komercializācijas potenciālu</w:t>
            </w:r>
          </w:p>
        </w:tc>
        <w:tc>
          <w:tcPr>
            <w:tcW w:w="850" w:type="dxa"/>
            <w:noWrap/>
            <w:hideMark/>
          </w:tcPr>
          <w:p w14:paraId="715C0756"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4</w:t>
            </w:r>
          </w:p>
        </w:tc>
      </w:tr>
      <w:tr w:rsidR="003E2E93" w:rsidRPr="00A27FA0" w14:paraId="29149380" w14:textId="77777777" w:rsidTr="004E718C">
        <w:trPr>
          <w:trHeight w:val="1904"/>
        </w:trPr>
        <w:tc>
          <w:tcPr>
            <w:cnfStyle w:val="001000000000" w:firstRow="0" w:lastRow="0" w:firstColumn="1" w:lastColumn="0" w:oddVBand="0" w:evenVBand="0" w:oddHBand="0" w:evenHBand="0" w:firstRowFirstColumn="0" w:firstRowLastColumn="0" w:lastRowFirstColumn="0" w:lastRowLastColumn="0"/>
            <w:tcW w:w="650" w:type="dxa"/>
            <w:noWrap/>
            <w:hideMark/>
          </w:tcPr>
          <w:p w14:paraId="7758F516"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t>1.3</w:t>
            </w:r>
          </w:p>
        </w:tc>
        <w:tc>
          <w:tcPr>
            <w:tcW w:w="3031" w:type="dxa"/>
            <w:hideMark/>
          </w:tcPr>
          <w:p w14:paraId="2ABF3D50" w14:textId="1DCED749" w:rsidR="005D0176" w:rsidRPr="00A27FA0" w:rsidRDefault="002D6182"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Produkts vai tehnoloģija ir jauna, vai uzņēmuma esošās produktu līnijas vai atsevišķa produkta atvasinājums/ papildinājums, kam identificējama zinātniskā novitāte</w:t>
            </w:r>
          </w:p>
        </w:tc>
        <w:tc>
          <w:tcPr>
            <w:tcW w:w="791" w:type="dxa"/>
            <w:noWrap/>
            <w:hideMark/>
          </w:tcPr>
          <w:p w14:paraId="059FE455"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3</w:t>
            </w:r>
          </w:p>
        </w:tc>
        <w:tc>
          <w:tcPr>
            <w:tcW w:w="650" w:type="dxa"/>
            <w:noWrap/>
            <w:hideMark/>
          </w:tcPr>
          <w:p w14:paraId="6207422E"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2.3</w:t>
            </w:r>
          </w:p>
        </w:tc>
        <w:tc>
          <w:tcPr>
            <w:tcW w:w="2670" w:type="dxa"/>
            <w:hideMark/>
          </w:tcPr>
          <w:p w14:paraId="4B82CC7B" w14:textId="195B99A9" w:rsidR="005D0176" w:rsidRPr="00A27FA0" w:rsidRDefault="002D6182"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Produkts vai tehnoloģija ir jauna, vai uzņēmuma esošās produktu līnijas vai atsevišķa produkta atvasinājums/ papildinājums, kam identificējama zinātniskā novitāte</w:t>
            </w:r>
          </w:p>
        </w:tc>
        <w:tc>
          <w:tcPr>
            <w:tcW w:w="850" w:type="dxa"/>
            <w:noWrap/>
            <w:hideMark/>
          </w:tcPr>
          <w:p w14:paraId="73EB687E"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3</w:t>
            </w:r>
          </w:p>
        </w:tc>
      </w:tr>
      <w:tr w:rsidR="003E2E93" w:rsidRPr="00A27FA0" w14:paraId="24CC6024" w14:textId="77777777" w:rsidTr="004E718C">
        <w:trPr>
          <w:trHeight w:val="1832"/>
        </w:trPr>
        <w:tc>
          <w:tcPr>
            <w:cnfStyle w:val="001000000000" w:firstRow="0" w:lastRow="0" w:firstColumn="1" w:lastColumn="0" w:oddVBand="0" w:evenVBand="0" w:oddHBand="0" w:evenHBand="0" w:firstRowFirstColumn="0" w:firstRowLastColumn="0" w:lastRowFirstColumn="0" w:lastRowLastColumn="0"/>
            <w:tcW w:w="650" w:type="dxa"/>
            <w:noWrap/>
            <w:hideMark/>
          </w:tcPr>
          <w:p w14:paraId="156B545E"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t>1.4</w:t>
            </w:r>
          </w:p>
        </w:tc>
        <w:tc>
          <w:tcPr>
            <w:tcW w:w="3031" w:type="dxa"/>
            <w:hideMark/>
          </w:tcPr>
          <w:p w14:paraId="51905CD5"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Produkts vai tehnoloģija ir uzņēmuma esošās produktu līnijas vai atsevišķa produkta atvasinājums/ papildinājums, veicot </w:t>
            </w:r>
            <w:r w:rsidRPr="00A27FA0">
              <w:rPr>
                <w:rFonts w:ascii="Times New Roman" w:hAnsi="Times New Roman" w:cs="Times New Roman"/>
                <w:u w:val="single"/>
                <w:lang w:eastAsia="lv-LV"/>
              </w:rPr>
              <w:t>vismaz dažus</w:t>
            </w:r>
            <w:r w:rsidRPr="00A27FA0">
              <w:rPr>
                <w:rFonts w:ascii="Times New Roman" w:hAnsi="Times New Roman" w:cs="Times New Roman"/>
                <w:lang w:eastAsia="lv-LV"/>
              </w:rPr>
              <w:t xml:space="preserve"> būtiskus uzlabojumus</w:t>
            </w:r>
          </w:p>
        </w:tc>
        <w:tc>
          <w:tcPr>
            <w:tcW w:w="791" w:type="dxa"/>
            <w:noWrap/>
            <w:hideMark/>
          </w:tcPr>
          <w:p w14:paraId="2A464A8C"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2</w:t>
            </w:r>
          </w:p>
        </w:tc>
        <w:tc>
          <w:tcPr>
            <w:tcW w:w="650" w:type="dxa"/>
            <w:noWrap/>
            <w:hideMark/>
          </w:tcPr>
          <w:p w14:paraId="65A6974D"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2.4</w:t>
            </w:r>
          </w:p>
        </w:tc>
        <w:tc>
          <w:tcPr>
            <w:tcW w:w="2670" w:type="dxa"/>
            <w:hideMark/>
          </w:tcPr>
          <w:p w14:paraId="430758E3"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Produkts vai tehnoloģija ir uzņēmuma esošās produktu līnijas vai atsevišķa produkta atvasinājums/ papildinājums, veicot </w:t>
            </w:r>
            <w:r w:rsidRPr="00A27FA0">
              <w:rPr>
                <w:rFonts w:ascii="Times New Roman" w:hAnsi="Times New Roman" w:cs="Times New Roman"/>
                <w:u w:val="single"/>
                <w:lang w:eastAsia="lv-LV"/>
              </w:rPr>
              <w:t>vismaz dažus</w:t>
            </w:r>
            <w:r w:rsidRPr="00A27FA0">
              <w:rPr>
                <w:rFonts w:ascii="Times New Roman" w:hAnsi="Times New Roman" w:cs="Times New Roman"/>
                <w:lang w:eastAsia="lv-LV"/>
              </w:rPr>
              <w:t xml:space="preserve"> būtiskus uzlabojumus</w:t>
            </w:r>
          </w:p>
        </w:tc>
        <w:tc>
          <w:tcPr>
            <w:tcW w:w="850" w:type="dxa"/>
            <w:noWrap/>
            <w:hideMark/>
          </w:tcPr>
          <w:p w14:paraId="0BE9D63C"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2</w:t>
            </w:r>
          </w:p>
        </w:tc>
      </w:tr>
      <w:tr w:rsidR="003E2E93" w:rsidRPr="00A27FA0" w14:paraId="13AD75AF" w14:textId="77777777" w:rsidTr="004E718C">
        <w:trPr>
          <w:trHeight w:val="2117"/>
        </w:trPr>
        <w:tc>
          <w:tcPr>
            <w:cnfStyle w:val="001000000000" w:firstRow="0" w:lastRow="0" w:firstColumn="1" w:lastColumn="0" w:oddVBand="0" w:evenVBand="0" w:oddHBand="0" w:evenHBand="0" w:firstRowFirstColumn="0" w:firstRowLastColumn="0" w:lastRowFirstColumn="0" w:lastRowLastColumn="0"/>
            <w:tcW w:w="650" w:type="dxa"/>
            <w:noWrap/>
            <w:hideMark/>
          </w:tcPr>
          <w:p w14:paraId="4F90FC3A" w14:textId="77777777" w:rsidR="005D0176" w:rsidRPr="00A27FA0" w:rsidRDefault="005D0176" w:rsidP="005D0176">
            <w:pPr>
              <w:jc w:val="both"/>
              <w:rPr>
                <w:rFonts w:ascii="Times New Roman" w:hAnsi="Times New Roman" w:cs="Times New Roman"/>
                <w:lang w:eastAsia="lv-LV"/>
              </w:rPr>
            </w:pPr>
            <w:r w:rsidRPr="00A27FA0">
              <w:rPr>
                <w:rFonts w:ascii="Times New Roman" w:hAnsi="Times New Roman" w:cs="Times New Roman"/>
                <w:lang w:eastAsia="lv-LV"/>
              </w:rPr>
              <w:t>1.5</w:t>
            </w:r>
          </w:p>
        </w:tc>
        <w:tc>
          <w:tcPr>
            <w:tcW w:w="3031" w:type="dxa"/>
            <w:hideMark/>
          </w:tcPr>
          <w:p w14:paraId="08290AED"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Produkts vai tehnoloģija ir uzņēmuma esošās produktu līnijas vai atsevišķa produkta izstrādes atkārtojums, piemēram nomainot ražošanas vietu/iekārtu vai izejvielu piegādātāju. Pētījums nerisina nozīmīgu nozares problēmu</w:t>
            </w:r>
          </w:p>
        </w:tc>
        <w:tc>
          <w:tcPr>
            <w:tcW w:w="791" w:type="dxa"/>
            <w:noWrap/>
            <w:hideMark/>
          </w:tcPr>
          <w:p w14:paraId="2994CF03"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1</w:t>
            </w:r>
          </w:p>
        </w:tc>
        <w:tc>
          <w:tcPr>
            <w:tcW w:w="650" w:type="dxa"/>
            <w:noWrap/>
            <w:hideMark/>
          </w:tcPr>
          <w:p w14:paraId="4CD6604F"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2.5</w:t>
            </w:r>
          </w:p>
        </w:tc>
        <w:tc>
          <w:tcPr>
            <w:tcW w:w="2670" w:type="dxa"/>
            <w:hideMark/>
          </w:tcPr>
          <w:p w14:paraId="573995B5"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Produkts vai tehnoloģija ir uzņēmuma esošās produktu līnijas paplašinājums nevis principiāli jauna izstrāde. Pētījums nerisina nozīmīgu nozares problēmu</w:t>
            </w:r>
          </w:p>
        </w:tc>
        <w:tc>
          <w:tcPr>
            <w:tcW w:w="850" w:type="dxa"/>
            <w:noWrap/>
            <w:hideMark/>
          </w:tcPr>
          <w:p w14:paraId="573126E1" w14:textId="77777777" w:rsidR="005D0176" w:rsidRPr="00A27FA0" w:rsidRDefault="005D0176" w:rsidP="005D017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1</w:t>
            </w:r>
          </w:p>
        </w:tc>
      </w:tr>
    </w:tbl>
    <w:p w14:paraId="3411AEF1" w14:textId="77777777" w:rsidR="005D0176" w:rsidRPr="00A27FA0" w:rsidRDefault="005D0176" w:rsidP="002104EA">
      <w:pPr>
        <w:jc w:val="both"/>
        <w:rPr>
          <w:rFonts w:ascii="Times New Roman" w:hAnsi="Times New Roman" w:cs="Times New Roman"/>
          <w:lang w:eastAsia="lv-LV"/>
        </w:rPr>
      </w:pPr>
    </w:p>
    <w:p w14:paraId="7F8F9A48" w14:textId="581017C4" w:rsidR="00BC72DD" w:rsidRPr="00A27FA0" w:rsidRDefault="00BC72DD" w:rsidP="00BC72DD">
      <w:pPr>
        <w:jc w:val="both"/>
        <w:rPr>
          <w:rFonts w:ascii="Times New Roman" w:hAnsi="Times New Roman" w:cs="Times New Roman"/>
          <w:lang w:eastAsia="lv-LV"/>
        </w:rPr>
      </w:pPr>
      <w:r w:rsidRPr="00A27FA0">
        <w:rPr>
          <w:rFonts w:ascii="Times New Roman" w:hAnsi="Times New Roman" w:cs="Times New Roman"/>
          <w:lang w:eastAsia="lv-LV"/>
        </w:rPr>
        <w:t xml:space="preserve">Pētījuma </w:t>
      </w:r>
      <w:r w:rsidRPr="00A27FA0">
        <w:rPr>
          <w:rFonts w:ascii="Times New Roman" w:hAnsi="Times New Roman" w:cs="Times New Roman"/>
          <w:i/>
          <w:iCs/>
          <w:u w:val="single"/>
          <w:lang w:eastAsia="lv-LV"/>
        </w:rPr>
        <w:t>ietekmes</w:t>
      </w:r>
      <w:r w:rsidRPr="00A27FA0">
        <w:rPr>
          <w:rFonts w:ascii="Times New Roman" w:hAnsi="Times New Roman" w:cs="Times New Roman"/>
          <w:lang w:eastAsia="lv-LV"/>
        </w:rPr>
        <w:t xml:space="preserve"> vērtējums (Vērtē 1-5 punktu skalā; Kritērijā jāsaņem vismaz 2 punkti):</w:t>
      </w:r>
    </w:p>
    <w:tbl>
      <w:tblPr>
        <w:tblStyle w:val="GridTable1Light-Accent1"/>
        <w:tblW w:w="8622" w:type="dxa"/>
        <w:tblLook w:val="04A0" w:firstRow="1" w:lastRow="0" w:firstColumn="1" w:lastColumn="0" w:noHBand="0" w:noVBand="1"/>
      </w:tblPr>
      <w:tblGrid>
        <w:gridCol w:w="675"/>
        <w:gridCol w:w="2747"/>
        <w:gridCol w:w="818"/>
        <w:gridCol w:w="650"/>
        <w:gridCol w:w="2902"/>
        <w:gridCol w:w="821"/>
        <w:gridCol w:w="9"/>
      </w:tblGrid>
      <w:tr w:rsidR="00825912" w:rsidRPr="00A27FA0" w14:paraId="134281C5" w14:textId="77777777" w:rsidTr="004E718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622" w:type="dxa"/>
            <w:gridSpan w:val="7"/>
            <w:noWrap/>
            <w:hideMark/>
          </w:tcPr>
          <w:p w14:paraId="1746D412" w14:textId="77777777" w:rsidR="000A5825" w:rsidRPr="00A27FA0" w:rsidRDefault="000A5825" w:rsidP="000A5825">
            <w:pPr>
              <w:jc w:val="both"/>
              <w:rPr>
                <w:rFonts w:ascii="Times New Roman" w:hAnsi="Times New Roman" w:cs="Times New Roman"/>
                <w:lang w:eastAsia="lv-LV"/>
              </w:rPr>
            </w:pPr>
            <w:r w:rsidRPr="00A27FA0">
              <w:rPr>
                <w:rFonts w:ascii="Times New Roman" w:hAnsi="Times New Roman" w:cs="Times New Roman"/>
                <w:lang w:eastAsia="lv-LV"/>
              </w:rPr>
              <w:lastRenderedPageBreak/>
              <w:t>Pētījuma ietekme</w:t>
            </w:r>
          </w:p>
        </w:tc>
      </w:tr>
      <w:tr w:rsidR="003749D5" w:rsidRPr="00A27FA0" w14:paraId="12C4EB19" w14:textId="77777777" w:rsidTr="002D6182">
        <w:trPr>
          <w:gridAfter w:val="1"/>
          <w:wAfter w:w="9" w:type="dxa"/>
          <w:trHeight w:val="416"/>
        </w:trPr>
        <w:tc>
          <w:tcPr>
            <w:cnfStyle w:val="001000000000" w:firstRow="0" w:lastRow="0" w:firstColumn="1" w:lastColumn="0" w:oddVBand="0" w:evenVBand="0" w:oddHBand="0" w:evenHBand="0" w:firstRowFirstColumn="0" w:firstRowLastColumn="0" w:lastRowFirstColumn="0" w:lastRowLastColumn="0"/>
            <w:tcW w:w="675" w:type="dxa"/>
            <w:noWrap/>
            <w:hideMark/>
          </w:tcPr>
          <w:p w14:paraId="79792420" w14:textId="77777777" w:rsidR="000A5825" w:rsidRPr="00A27FA0" w:rsidRDefault="000A5825" w:rsidP="000A5825">
            <w:pPr>
              <w:jc w:val="both"/>
              <w:rPr>
                <w:rFonts w:ascii="Times New Roman" w:hAnsi="Times New Roman" w:cs="Times New Roman"/>
                <w:lang w:eastAsia="lv-LV"/>
              </w:rPr>
            </w:pPr>
            <w:r w:rsidRPr="00A27FA0">
              <w:rPr>
                <w:rFonts w:ascii="Times New Roman" w:hAnsi="Times New Roman" w:cs="Times New Roman"/>
                <w:lang w:eastAsia="lv-LV"/>
              </w:rPr>
              <w:t>Npk.</w:t>
            </w:r>
          </w:p>
        </w:tc>
        <w:tc>
          <w:tcPr>
            <w:tcW w:w="2747" w:type="dxa"/>
            <w:hideMark/>
          </w:tcPr>
          <w:p w14:paraId="376BDD5B" w14:textId="77777777" w:rsidR="000A5825" w:rsidRPr="00A27FA0" w:rsidRDefault="000A5825" w:rsidP="000A58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Eksports apjoms No GP</w:t>
            </w:r>
          </w:p>
        </w:tc>
        <w:tc>
          <w:tcPr>
            <w:tcW w:w="818" w:type="dxa"/>
            <w:noWrap/>
            <w:hideMark/>
          </w:tcPr>
          <w:p w14:paraId="4017BE1B" w14:textId="77777777" w:rsidR="000A5825" w:rsidRPr="00A27FA0" w:rsidRDefault="000A5825" w:rsidP="000A58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Punkti</w:t>
            </w:r>
          </w:p>
        </w:tc>
        <w:tc>
          <w:tcPr>
            <w:tcW w:w="650" w:type="dxa"/>
            <w:noWrap/>
            <w:hideMark/>
          </w:tcPr>
          <w:p w14:paraId="69E4E7AD" w14:textId="77777777" w:rsidR="000A5825" w:rsidRPr="00A27FA0" w:rsidRDefault="000A5825" w:rsidP="000A58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Npk.</w:t>
            </w:r>
          </w:p>
        </w:tc>
        <w:tc>
          <w:tcPr>
            <w:tcW w:w="2902" w:type="dxa"/>
            <w:hideMark/>
          </w:tcPr>
          <w:p w14:paraId="0D98B7D6" w14:textId="77777777" w:rsidR="000A5825" w:rsidRPr="00A27FA0" w:rsidRDefault="000A5825" w:rsidP="000A58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Eksportspējas izvērtējums</w:t>
            </w:r>
          </w:p>
        </w:tc>
        <w:tc>
          <w:tcPr>
            <w:tcW w:w="821" w:type="dxa"/>
            <w:noWrap/>
            <w:hideMark/>
          </w:tcPr>
          <w:p w14:paraId="36D13401" w14:textId="77777777" w:rsidR="000A5825" w:rsidRPr="00A27FA0" w:rsidRDefault="000A5825" w:rsidP="000A582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Punkti</w:t>
            </w:r>
          </w:p>
        </w:tc>
      </w:tr>
      <w:tr w:rsidR="002D6182" w:rsidRPr="00A27FA0" w14:paraId="0E25169A" w14:textId="77777777" w:rsidTr="002D6182">
        <w:trPr>
          <w:gridAfter w:val="1"/>
          <w:wAfter w:w="9" w:type="dxa"/>
          <w:trHeight w:val="1400"/>
        </w:trPr>
        <w:tc>
          <w:tcPr>
            <w:cnfStyle w:val="001000000000" w:firstRow="0" w:lastRow="0" w:firstColumn="1" w:lastColumn="0" w:oddVBand="0" w:evenVBand="0" w:oddHBand="0" w:evenHBand="0" w:firstRowFirstColumn="0" w:firstRowLastColumn="0" w:lastRowFirstColumn="0" w:lastRowLastColumn="0"/>
            <w:tcW w:w="675" w:type="dxa"/>
            <w:noWrap/>
            <w:hideMark/>
          </w:tcPr>
          <w:p w14:paraId="277BE4AB"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3.1</w:t>
            </w:r>
          </w:p>
        </w:tc>
        <w:tc>
          <w:tcPr>
            <w:tcW w:w="2747" w:type="dxa"/>
            <w:hideMark/>
          </w:tcPr>
          <w:p w14:paraId="57002BA4" w14:textId="14E03952"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 Sadarbības partnera pārtikas uzņēmuma pēdējo 2 gadu </w:t>
            </w:r>
            <w:r w:rsidR="00C0606B" w:rsidRPr="00A27FA0">
              <w:rPr>
                <w:rFonts w:ascii="Times New Roman" w:hAnsi="Times New Roman" w:cs="Times New Roman"/>
                <w:lang w:eastAsia="lv-LV"/>
              </w:rPr>
              <w:t>noslēgto</w:t>
            </w:r>
            <w:r w:rsidRPr="00A27FA0">
              <w:rPr>
                <w:rFonts w:ascii="Times New Roman" w:hAnsi="Times New Roman" w:cs="Times New Roman"/>
                <w:lang w:eastAsia="lv-LV"/>
              </w:rPr>
              <w:t xml:space="preserve"> gada pārskatu eksports vidēji  sastāda </w:t>
            </w:r>
            <w:r w:rsidR="00C0606B" w:rsidRPr="00A27FA0">
              <w:rPr>
                <w:rFonts w:ascii="Times New Roman" w:hAnsi="Times New Roman" w:cs="Times New Roman"/>
                <w:lang w:eastAsia="lv-LV"/>
              </w:rPr>
              <w:t>virs 90% no apgrozījuma</w:t>
            </w:r>
            <w:r w:rsidRPr="00A27FA0">
              <w:rPr>
                <w:rFonts w:ascii="Times New Roman" w:hAnsi="Times New Roman" w:cs="Times New Roman"/>
                <w:lang w:eastAsia="lv-LV"/>
              </w:rPr>
              <w:t xml:space="preserve"> </w:t>
            </w:r>
          </w:p>
        </w:tc>
        <w:tc>
          <w:tcPr>
            <w:tcW w:w="818" w:type="dxa"/>
            <w:noWrap/>
            <w:hideMark/>
          </w:tcPr>
          <w:p w14:paraId="3C972345"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5</w:t>
            </w:r>
          </w:p>
        </w:tc>
        <w:tc>
          <w:tcPr>
            <w:tcW w:w="650" w:type="dxa"/>
            <w:noWrap/>
            <w:hideMark/>
          </w:tcPr>
          <w:p w14:paraId="0D30EF1A"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4.1</w:t>
            </w:r>
          </w:p>
        </w:tc>
        <w:tc>
          <w:tcPr>
            <w:tcW w:w="2902" w:type="dxa"/>
            <w:hideMark/>
          </w:tcPr>
          <w:p w14:paraId="2951748A" w14:textId="6A22A04A"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Pētījuma ietvaros izstrādātais produkts / tehnoloģija ir oriģināls globālā mērogā ar augstu un ticamu eksportspējas potenciālu</w:t>
            </w:r>
          </w:p>
        </w:tc>
        <w:tc>
          <w:tcPr>
            <w:tcW w:w="821" w:type="dxa"/>
            <w:noWrap/>
            <w:hideMark/>
          </w:tcPr>
          <w:p w14:paraId="34F09F89"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5</w:t>
            </w:r>
          </w:p>
        </w:tc>
      </w:tr>
      <w:tr w:rsidR="002D6182" w:rsidRPr="00A27FA0" w14:paraId="6ED50194" w14:textId="77777777" w:rsidTr="002D6182">
        <w:trPr>
          <w:gridAfter w:val="1"/>
          <w:wAfter w:w="9" w:type="dxa"/>
          <w:trHeight w:val="1830"/>
        </w:trPr>
        <w:tc>
          <w:tcPr>
            <w:cnfStyle w:val="001000000000" w:firstRow="0" w:lastRow="0" w:firstColumn="1" w:lastColumn="0" w:oddVBand="0" w:evenVBand="0" w:oddHBand="0" w:evenHBand="0" w:firstRowFirstColumn="0" w:firstRowLastColumn="0" w:lastRowFirstColumn="0" w:lastRowLastColumn="0"/>
            <w:tcW w:w="675" w:type="dxa"/>
            <w:noWrap/>
            <w:hideMark/>
          </w:tcPr>
          <w:p w14:paraId="3FE0BE87"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3.2</w:t>
            </w:r>
          </w:p>
        </w:tc>
        <w:tc>
          <w:tcPr>
            <w:tcW w:w="2747" w:type="dxa"/>
            <w:hideMark/>
          </w:tcPr>
          <w:p w14:paraId="2BFA1DCE" w14:textId="190A61BB"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 xml:space="preserve"> Sadarbības partnera nozares uzņēmuma pēdējo 2 gadu </w:t>
            </w:r>
            <w:r w:rsidR="00C0606B" w:rsidRPr="00A27FA0">
              <w:rPr>
                <w:rFonts w:ascii="Times New Roman" w:hAnsi="Times New Roman" w:cs="Times New Roman"/>
                <w:lang w:eastAsia="lv-LV"/>
              </w:rPr>
              <w:t xml:space="preserve">noslēgto </w:t>
            </w:r>
            <w:r w:rsidRPr="00A27FA0">
              <w:rPr>
                <w:rFonts w:ascii="Times New Roman" w:hAnsi="Times New Roman" w:cs="Times New Roman"/>
              </w:rPr>
              <w:t xml:space="preserve">gada pārskatu eksports vidēji  sastāda </w:t>
            </w:r>
            <w:r w:rsidR="00C0606B" w:rsidRPr="00A27FA0">
              <w:rPr>
                <w:rFonts w:ascii="Times New Roman" w:hAnsi="Times New Roman" w:cs="Times New Roman"/>
              </w:rPr>
              <w:t>8</w:t>
            </w:r>
            <w:r w:rsidR="00C0606B" w:rsidRPr="00A27FA0">
              <w:rPr>
                <w:rFonts w:ascii="Times New Roman" w:hAnsi="Times New Roman" w:cs="Times New Roman"/>
                <w:lang w:eastAsia="lv-LV"/>
              </w:rPr>
              <w:t>0%-90% no apgrozījuma</w:t>
            </w:r>
          </w:p>
        </w:tc>
        <w:tc>
          <w:tcPr>
            <w:tcW w:w="818" w:type="dxa"/>
            <w:noWrap/>
            <w:hideMark/>
          </w:tcPr>
          <w:p w14:paraId="35563CBB"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4</w:t>
            </w:r>
          </w:p>
        </w:tc>
        <w:tc>
          <w:tcPr>
            <w:tcW w:w="650" w:type="dxa"/>
            <w:noWrap/>
            <w:hideMark/>
          </w:tcPr>
          <w:p w14:paraId="4864A40E"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4.2</w:t>
            </w:r>
          </w:p>
        </w:tc>
        <w:tc>
          <w:tcPr>
            <w:tcW w:w="2902" w:type="dxa"/>
            <w:hideMark/>
          </w:tcPr>
          <w:p w14:paraId="57F689EC" w14:textId="4A0171EF"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Pētījuma ietvaros izstrādātais produkts / tehnoloģija ir reģionāli nozīmīgs ar augstu eksportspējas potenciālu. Ir identificēti noieta tirgi, eksporta vai apgrozījuma pieauguma aplēses ir ticamas</w:t>
            </w:r>
          </w:p>
        </w:tc>
        <w:tc>
          <w:tcPr>
            <w:tcW w:w="821" w:type="dxa"/>
            <w:noWrap/>
            <w:hideMark/>
          </w:tcPr>
          <w:p w14:paraId="2815FE99"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4</w:t>
            </w:r>
          </w:p>
        </w:tc>
      </w:tr>
      <w:tr w:rsidR="002D6182" w:rsidRPr="00A27FA0" w14:paraId="6582B8C8" w14:textId="77777777" w:rsidTr="002D6182">
        <w:trPr>
          <w:gridAfter w:val="1"/>
          <w:wAfter w:w="9" w:type="dxa"/>
          <w:trHeight w:val="3118"/>
        </w:trPr>
        <w:tc>
          <w:tcPr>
            <w:cnfStyle w:val="001000000000" w:firstRow="0" w:lastRow="0" w:firstColumn="1" w:lastColumn="0" w:oddVBand="0" w:evenVBand="0" w:oddHBand="0" w:evenHBand="0" w:firstRowFirstColumn="0" w:firstRowLastColumn="0" w:lastRowFirstColumn="0" w:lastRowLastColumn="0"/>
            <w:tcW w:w="675" w:type="dxa"/>
            <w:noWrap/>
            <w:hideMark/>
          </w:tcPr>
          <w:p w14:paraId="7CAA8E56"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3.3</w:t>
            </w:r>
          </w:p>
        </w:tc>
        <w:tc>
          <w:tcPr>
            <w:tcW w:w="2747" w:type="dxa"/>
            <w:hideMark/>
          </w:tcPr>
          <w:p w14:paraId="362377F2" w14:textId="3CD95E63"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 xml:space="preserve"> Sadarbības partnera nozares uzņēmuma pēdējo 2 gadu </w:t>
            </w:r>
            <w:r w:rsidR="00C0606B" w:rsidRPr="00A27FA0">
              <w:rPr>
                <w:rFonts w:ascii="Times New Roman" w:hAnsi="Times New Roman" w:cs="Times New Roman"/>
                <w:lang w:eastAsia="lv-LV"/>
              </w:rPr>
              <w:t xml:space="preserve">noslēgto </w:t>
            </w:r>
            <w:r w:rsidRPr="00A27FA0">
              <w:rPr>
                <w:rFonts w:ascii="Times New Roman" w:hAnsi="Times New Roman" w:cs="Times New Roman"/>
              </w:rPr>
              <w:t xml:space="preserve">gada pārskatu eksports vidēji  </w:t>
            </w:r>
            <w:r w:rsidR="00C0606B" w:rsidRPr="00A27FA0">
              <w:rPr>
                <w:rFonts w:ascii="Times New Roman" w:hAnsi="Times New Roman" w:cs="Times New Roman"/>
              </w:rPr>
              <w:t>sastāda 7</w:t>
            </w:r>
            <w:r w:rsidR="00C0606B" w:rsidRPr="00A27FA0">
              <w:rPr>
                <w:rFonts w:ascii="Times New Roman" w:hAnsi="Times New Roman" w:cs="Times New Roman"/>
                <w:lang w:eastAsia="lv-LV"/>
              </w:rPr>
              <w:t>0%-80% no apgrozījuma</w:t>
            </w:r>
          </w:p>
        </w:tc>
        <w:tc>
          <w:tcPr>
            <w:tcW w:w="818" w:type="dxa"/>
            <w:noWrap/>
            <w:hideMark/>
          </w:tcPr>
          <w:p w14:paraId="09BD5EC0"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3</w:t>
            </w:r>
          </w:p>
        </w:tc>
        <w:tc>
          <w:tcPr>
            <w:tcW w:w="650" w:type="dxa"/>
            <w:noWrap/>
            <w:hideMark/>
          </w:tcPr>
          <w:p w14:paraId="40E8AB70"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4.3</w:t>
            </w:r>
          </w:p>
        </w:tc>
        <w:tc>
          <w:tcPr>
            <w:tcW w:w="2902" w:type="dxa"/>
            <w:hideMark/>
          </w:tcPr>
          <w:p w14:paraId="3905D0AA" w14:textId="120DF89D"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Pētījuma ietvaros izstrādātajam produktam / tehnoloģijai reģionālā mērogā ir analogi, taču tā priekšrocībām ir potenciāls izkonkurēt analogus. Ir ticama eksportspējas vai apgrozījuma pieauguma aplēse. Ir ticama uzņēmuma turpmāka ieguldīšana P&amp;A, nodarbinātības pieaugums vai radīta eko-inovācija</w:t>
            </w:r>
          </w:p>
        </w:tc>
        <w:tc>
          <w:tcPr>
            <w:tcW w:w="821" w:type="dxa"/>
            <w:noWrap/>
            <w:hideMark/>
          </w:tcPr>
          <w:p w14:paraId="2F22CF98"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3</w:t>
            </w:r>
          </w:p>
        </w:tc>
      </w:tr>
      <w:tr w:rsidR="002D6182" w:rsidRPr="00A27FA0" w14:paraId="415253B4" w14:textId="77777777" w:rsidTr="002D6182">
        <w:trPr>
          <w:gridAfter w:val="1"/>
          <w:wAfter w:w="9" w:type="dxa"/>
          <w:trHeight w:val="2397"/>
        </w:trPr>
        <w:tc>
          <w:tcPr>
            <w:cnfStyle w:val="001000000000" w:firstRow="0" w:lastRow="0" w:firstColumn="1" w:lastColumn="0" w:oddVBand="0" w:evenVBand="0" w:oddHBand="0" w:evenHBand="0" w:firstRowFirstColumn="0" w:firstRowLastColumn="0" w:lastRowFirstColumn="0" w:lastRowLastColumn="0"/>
            <w:tcW w:w="675" w:type="dxa"/>
            <w:noWrap/>
            <w:hideMark/>
          </w:tcPr>
          <w:p w14:paraId="62F7C432"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3.4</w:t>
            </w:r>
          </w:p>
        </w:tc>
        <w:tc>
          <w:tcPr>
            <w:tcW w:w="2747" w:type="dxa"/>
            <w:hideMark/>
          </w:tcPr>
          <w:p w14:paraId="562E8F73" w14:textId="1F849A2F"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 xml:space="preserve"> Sadarbības partnera nozares uzņēmuma pēdējo 2 gadu </w:t>
            </w:r>
            <w:r w:rsidR="00C0606B" w:rsidRPr="00A27FA0">
              <w:rPr>
                <w:rFonts w:ascii="Times New Roman" w:hAnsi="Times New Roman" w:cs="Times New Roman"/>
                <w:lang w:eastAsia="lv-LV"/>
              </w:rPr>
              <w:t xml:space="preserve">noslēgto </w:t>
            </w:r>
            <w:r w:rsidRPr="00A27FA0">
              <w:rPr>
                <w:rFonts w:ascii="Times New Roman" w:hAnsi="Times New Roman" w:cs="Times New Roman"/>
              </w:rPr>
              <w:t xml:space="preserve">gada pārskatu eksports </w:t>
            </w:r>
            <w:r w:rsidR="00C0606B" w:rsidRPr="00A27FA0">
              <w:rPr>
                <w:rFonts w:ascii="Times New Roman" w:hAnsi="Times New Roman" w:cs="Times New Roman"/>
              </w:rPr>
              <w:t>vidēji  sastāda 6</w:t>
            </w:r>
            <w:r w:rsidR="00C0606B" w:rsidRPr="00A27FA0">
              <w:rPr>
                <w:rFonts w:ascii="Times New Roman" w:hAnsi="Times New Roman" w:cs="Times New Roman"/>
                <w:lang w:eastAsia="lv-LV"/>
              </w:rPr>
              <w:t>0%-70% no apgrozījuma</w:t>
            </w:r>
          </w:p>
        </w:tc>
        <w:tc>
          <w:tcPr>
            <w:tcW w:w="818" w:type="dxa"/>
            <w:noWrap/>
            <w:hideMark/>
          </w:tcPr>
          <w:p w14:paraId="53420E16"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2</w:t>
            </w:r>
          </w:p>
        </w:tc>
        <w:tc>
          <w:tcPr>
            <w:tcW w:w="650" w:type="dxa"/>
            <w:noWrap/>
            <w:hideMark/>
          </w:tcPr>
          <w:p w14:paraId="28233DA2"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4.4</w:t>
            </w:r>
          </w:p>
        </w:tc>
        <w:tc>
          <w:tcPr>
            <w:tcW w:w="2902" w:type="dxa"/>
            <w:hideMark/>
          </w:tcPr>
          <w:p w14:paraId="6B0028F2" w14:textId="3F8555AB"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Pētījuma ietvaros izstrādātais produkts / tehnoloģija globālā vai reģionālā mērogā ir bieži sastopama un viegli aizvietojama, taču tā priekšrocībām ir potenciāls izkonkurēt analogus. Ir ticama eksportspējas vai apgrozījuma pieauguma aplēse.</w:t>
            </w:r>
          </w:p>
        </w:tc>
        <w:tc>
          <w:tcPr>
            <w:tcW w:w="821" w:type="dxa"/>
            <w:noWrap/>
            <w:hideMark/>
          </w:tcPr>
          <w:p w14:paraId="002FB57E"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2</w:t>
            </w:r>
          </w:p>
        </w:tc>
      </w:tr>
      <w:tr w:rsidR="002D6182" w:rsidRPr="00A27FA0" w14:paraId="52EC374E" w14:textId="77777777" w:rsidTr="002D6182">
        <w:trPr>
          <w:gridAfter w:val="1"/>
          <w:wAfter w:w="9" w:type="dxa"/>
          <w:trHeight w:val="1408"/>
        </w:trPr>
        <w:tc>
          <w:tcPr>
            <w:cnfStyle w:val="001000000000" w:firstRow="0" w:lastRow="0" w:firstColumn="1" w:lastColumn="0" w:oddVBand="0" w:evenVBand="0" w:oddHBand="0" w:evenHBand="0" w:firstRowFirstColumn="0" w:firstRowLastColumn="0" w:lastRowFirstColumn="0" w:lastRowLastColumn="0"/>
            <w:tcW w:w="675" w:type="dxa"/>
            <w:noWrap/>
            <w:hideMark/>
          </w:tcPr>
          <w:p w14:paraId="0E61EB53"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3.5</w:t>
            </w:r>
          </w:p>
        </w:tc>
        <w:tc>
          <w:tcPr>
            <w:tcW w:w="2747" w:type="dxa"/>
            <w:hideMark/>
          </w:tcPr>
          <w:p w14:paraId="5D8D833A" w14:textId="5CF3F815"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 xml:space="preserve"> Sadarbības partnera nozares uzņēmuma pēdējo 2 gadu </w:t>
            </w:r>
            <w:r w:rsidR="00C0606B" w:rsidRPr="00A27FA0">
              <w:rPr>
                <w:rFonts w:ascii="Times New Roman" w:hAnsi="Times New Roman" w:cs="Times New Roman"/>
                <w:lang w:eastAsia="lv-LV"/>
              </w:rPr>
              <w:t xml:space="preserve">noslēgto </w:t>
            </w:r>
            <w:r w:rsidRPr="00A27FA0">
              <w:rPr>
                <w:rFonts w:ascii="Times New Roman" w:hAnsi="Times New Roman" w:cs="Times New Roman"/>
              </w:rPr>
              <w:t xml:space="preserve">gada pārskatu eksports vidēji  sastāda mazāk </w:t>
            </w:r>
            <w:r w:rsidR="00C0606B" w:rsidRPr="00A27FA0">
              <w:rPr>
                <w:rFonts w:ascii="Times New Roman" w:hAnsi="Times New Roman" w:cs="Times New Roman"/>
              </w:rPr>
              <w:t>par 6</w:t>
            </w:r>
            <w:r w:rsidR="00C0606B" w:rsidRPr="00A27FA0">
              <w:rPr>
                <w:rFonts w:ascii="Times New Roman" w:hAnsi="Times New Roman" w:cs="Times New Roman"/>
                <w:lang w:eastAsia="lv-LV"/>
              </w:rPr>
              <w:t>0% no apgrozījuma</w:t>
            </w:r>
          </w:p>
        </w:tc>
        <w:tc>
          <w:tcPr>
            <w:tcW w:w="818" w:type="dxa"/>
            <w:noWrap/>
            <w:hideMark/>
          </w:tcPr>
          <w:p w14:paraId="18F02B21"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1</w:t>
            </w:r>
          </w:p>
        </w:tc>
        <w:tc>
          <w:tcPr>
            <w:tcW w:w="650" w:type="dxa"/>
            <w:noWrap/>
            <w:hideMark/>
          </w:tcPr>
          <w:p w14:paraId="50B34969"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4.5</w:t>
            </w:r>
          </w:p>
        </w:tc>
        <w:tc>
          <w:tcPr>
            <w:tcW w:w="2902" w:type="dxa"/>
            <w:hideMark/>
          </w:tcPr>
          <w:p w14:paraId="0914125F" w14:textId="71F65014"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Pētījuma ietvaros izstrādātais produkts / tehnoloģija ir globālos tirgos bieži sastopama un  viegli aizvietojama</w:t>
            </w:r>
          </w:p>
        </w:tc>
        <w:tc>
          <w:tcPr>
            <w:tcW w:w="821" w:type="dxa"/>
            <w:noWrap/>
            <w:hideMark/>
          </w:tcPr>
          <w:p w14:paraId="62117617"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1</w:t>
            </w:r>
          </w:p>
        </w:tc>
      </w:tr>
    </w:tbl>
    <w:p w14:paraId="3BD2AF33" w14:textId="77777777" w:rsidR="005D0176" w:rsidRPr="00A27FA0" w:rsidRDefault="005D0176" w:rsidP="002104EA">
      <w:pPr>
        <w:jc w:val="both"/>
        <w:rPr>
          <w:rFonts w:ascii="Times New Roman" w:hAnsi="Times New Roman" w:cs="Times New Roman"/>
          <w:lang w:eastAsia="lv-LV"/>
        </w:rPr>
      </w:pPr>
    </w:p>
    <w:p w14:paraId="0F0A049B" w14:textId="40315313" w:rsidR="00BC72DD" w:rsidRPr="00A27FA0" w:rsidRDefault="00BC72DD" w:rsidP="00BC72DD">
      <w:pPr>
        <w:jc w:val="both"/>
        <w:rPr>
          <w:rFonts w:ascii="Times New Roman" w:hAnsi="Times New Roman" w:cs="Times New Roman"/>
          <w:lang w:eastAsia="lv-LV"/>
        </w:rPr>
      </w:pPr>
      <w:r w:rsidRPr="00A27FA0">
        <w:rPr>
          <w:rFonts w:ascii="Times New Roman" w:hAnsi="Times New Roman" w:cs="Times New Roman"/>
          <w:lang w:eastAsia="lv-LV"/>
        </w:rPr>
        <w:t xml:space="preserve">Pētījuma </w:t>
      </w:r>
      <w:r w:rsidRPr="00A27FA0">
        <w:rPr>
          <w:rFonts w:ascii="Times New Roman" w:hAnsi="Times New Roman" w:cs="Times New Roman"/>
          <w:i/>
          <w:iCs/>
          <w:u w:val="single"/>
          <w:lang w:eastAsia="lv-LV"/>
        </w:rPr>
        <w:t>izpildes</w:t>
      </w:r>
      <w:r w:rsidRPr="00A27FA0">
        <w:rPr>
          <w:rFonts w:ascii="Times New Roman" w:hAnsi="Times New Roman" w:cs="Times New Roman"/>
          <w:lang w:eastAsia="lv-LV"/>
        </w:rPr>
        <w:t xml:space="preserve"> vērtējums (Vērtē 1-5 punktu skalā; Kritērijā jāsaņem vismaz 2 punkti):</w:t>
      </w:r>
    </w:p>
    <w:tbl>
      <w:tblPr>
        <w:tblStyle w:val="GridTable1Light-Accent1"/>
        <w:tblW w:w="0" w:type="auto"/>
        <w:tblLook w:val="04A0" w:firstRow="1" w:lastRow="0" w:firstColumn="1" w:lastColumn="0" w:noHBand="0" w:noVBand="1"/>
      </w:tblPr>
      <w:tblGrid>
        <w:gridCol w:w="674"/>
        <w:gridCol w:w="2172"/>
        <w:gridCol w:w="856"/>
        <w:gridCol w:w="650"/>
        <w:gridCol w:w="3422"/>
        <w:gridCol w:w="856"/>
      </w:tblGrid>
      <w:tr w:rsidR="00634630" w:rsidRPr="00A27FA0" w14:paraId="0EB7283C" w14:textId="77777777" w:rsidTr="004E718C">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8630" w:type="dxa"/>
            <w:gridSpan w:val="6"/>
            <w:noWrap/>
            <w:hideMark/>
          </w:tcPr>
          <w:p w14:paraId="11F56883" w14:textId="77777777" w:rsidR="00634630" w:rsidRPr="00A27FA0" w:rsidRDefault="00634630" w:rsidP="00634630">
            <w:pPr>
              <w:jc w:val="both"/>
              <w:rPr>
                <w:rFonts w:ascii="Times New Roman" w:hAnsi="Times New Roman" w:cs="Times New Roman"/>
                <w:lang w:eastAsia="lv-LV"/>
              </w:rPr>
            </w:pPr>
            <w:r w:rsidRPr="00A27FA0">
              <w:rPr>
                <w:rFonts w:ascii="Times New Roman" w:hAnsi="Times New Roman" w:cs="Times New Roman"/>
                <w:lang w:eastAsia="lv-LV"/>
              </w:rPr>
              <w:t>Pētījuma izpilde</w:t>
            </w:r>
          </w:p>
        </w:tc>
      </w:tr>
      <w:tr w:rsidR="00BC72DD" w:rsidRPr="00A27FA0" w14:paraId="02905438" w14:textId="77777777" w:rsidTr="002D6182">
        <w:trPr>
          <w:trHeight w:val="841"/>
        </w:trPr>
        <w:tc>
          <w:tcPr>
            <w:cnfStyle w:val="001000000000" w:firstRow="0" w:lastRow="0" w:firstColumn="1" w:lastColumn="0" w:oddVBand="0" w:evenVBand="0" w:oddHBand="0" w:evenHBand="0" w:firstRowFirstColumn="0" w:firstRowLastColumn="0" w:lastRowFirstColumn="0" w:lastRowLastColumn="0"/>
            <w:tcW w:w="673" w:type="dxa"/>
            <w:noWrap/>
            <w:hideMark/>
          </w:tcPr>
          <w:p w14:paraId="238F3395" w14:textId="77777777" w:rsidR="00634630" w:rsidRPr="00A27FA0" w:rsidRDefault="00634630" w:rsidP="00634630">
            <w:pPr>
              <w:jc w:val="both"/>
              <w:rPr>
                <w:rFonts w:ascii="Times New Roman" w:hAnsi="Times New Roman" w:cs="Times New Roman"/>
                <w:lang w:eastAsia="lv-LV"/>
              </w:rPr>
            </w:pPr>
            <w:r w:rsidRPr="00A27FA0">
              <w:rPr>
                <w:rFonts w:ascii="Times New Roman" w:hAnsi="Times New Roman" w:cs="Times New Roman"/>
                <w:lang w:eastAsia="lv-LV"/>
              </w:rPr>
              <w:lastRenderedPageBreak/>
              <w:t>Npk.</w:t>
            </w:r>
          </w:p>
        </w:tc>
        <w:tc>
          <w:tcPr>
            <w:tcW w:w="2173" w:type="dxa"/>
            <w:hideMark/>
          </w:tcPr>
          <w:p w14:paraId="47BA8DEE" w14:textId="77777777" w:rsidR="00634630" w:rsidRPr="00A27FA0" w:rsidRDefault="00634630" w:rsidP="006346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Pētījuma izmaksu attiecība pret apgrozījumu</w:t>
            </w:r>
          </w:p>
        </w:tc>
        <w:tc>
          <w:tcPr>
            <w:tcW w:w="856" w:type="dxa"/>
            <w:noWrap/>
            <w:hideMark/>
          </w:tcPr>
          <w:p w14:paraId="5AE3C325" w14:textId="77777777" w:rsidR="00634630" w:rsidRPr="00A27FA0" w:rsidRDefault="00634630" w:rsidP="006346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Punkti</w:t>
            </w:r>
          </w:p>
        </w:tc>
        <w:tc>
          <w:tcPr>
            <w:tcW w:w="649" w:type="dxa"/>
            <w:noWrap/>
            <w:hideMark/>
          </w:tcPr>
          <w:p w14:paraId="6EC23A8E" w14:textId="77777777" w:rsidR="00634630" w:rsidRPr="00A27FA0" w:rsidRDefault="00634630" w:rsidP="006346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Npk.</w:t>
            </w:r>
          </w:p>
        </w:tc>
        <w:tc>
          <w:tcPr>
            <w:tcW w:w="3423" w:type="dxa"/>
            <w:noWrap/>
            <w:hideMark/>
          </w:tcPr>
          <w:p w14:paraId="2C4D4ACE" w14:textId="77777777" w:rsidR="00634630" w:rsidRPr="00A27FA0" w:rsidRDefault="00634630" w:rsidP="006346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Plāns</w:t>
            </w:r>
          </w:p>
        </w:tc>
        <w:tc>
          <w:tcPr>
            <w:tcW w:w="856" w:type="dxa"/>
            <w:noWrap/>
            <w:hideMark/>
          </w:tcPr>
          <w:p w14:paraId="2C3B85FF" w14:textId="77777777" w:rsidR="00634630" w:rsidRPr="00A27FA0" w:rsidRDefault="00634630" w:rsidP="0063463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Punkti</w:t>
            </w:r>
          </w:p>
        </w:tc>
      </w:tr>
      <w:tr w:rsidR="002D6182" w:rsidRPr="00A27FA0" w14:paraId="55163475" w14:textId="77777777" w:rsidTr="002D6182">
        <w:trPr>
          <w:trHeight w:val="1975"/>
        </w:trPr>
        <w:tc>
          <w:tcPr>
            <w:cnfStyle w:val="001000000000" w:firstRow="0" w:lastRow="0" w:firstColumn="1" w:lastColumn="0" w:oddVBand="0" w:evenVBand="0" w:oddHBand="0" w:evenHBand="0" w:firstRowFirstColumn="0" w:firstRowLastColumn="0" w:lastRowFirstColumn="0" w:lastRowLastColumn="0"/>
            <w:tcW w:w="673" w:type="dxa"/>
            <w:noWrap/>
            <w:hideMark/>
          </w:tcPr>
          <w:p w14:paraId="75FB8DE1"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5.1</w:t>
            </w:r>
          </w:p>
        </w:tc>
        <w:tc>
          <w:tcPr>
            <w:tcW w:w="2173" w:type="dxa"/>
            <w:hideMark/>
          </w:tcPr>
          <w:p w14:paraId="4E7EF104" w14:textId="116B097A"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Pieteiktā pētniecības projekta budžeta kopsumma sastāda mazāk par 5% no uzņēmuma 2 gadu vidējā apgrozījuma</w:t>
            </w:r>
          </w:p>
        </w:tc>
        <w:tc>
          <w:tcPr>
            <w:tcW w:w="856" w:type="dxa"/>
            <w:noWrap/>
            <w:hideMark/>
          </w:tcPr>
          <w:p w14:paraId="76F1162B"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5</w:t>
            </w:r>
          </w:p>
        </w:tc>
        <w:tc>
          <w:tcPr>
            <w:tcW w:w="649" w:type="dxa"/>
            <w:noWrap/>
            <w:hideMark/>
          </w:tcPr>
          <w:p w14:paraId="19EC6928"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6.1</w:t>
            </w:r>
          </w:p>
        </w:tc>
        <w:tc>
          <w:tcPr>
            <w:tcW w:w="3423" w:type="dxa"/>
            <w:hideMark/>
          </w:tcPr>
          <w:p w14:paraId="1D8AEEFD"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Pētniecības projekta plāns ir izstrādāts detalizēti, ir loģiska darbība secība, skaidri definēti pētniecības projekta starpposmi laika grafikā, un starpposmos sasniedzamie rezultatīvie (gan kvantitatīvie, gan kvalitatīvie) rādītāji. </w:t>
            </w:r>
          </w:p>
        </w:tc>
        <w:tc>
          <w:tcPr>
            <w:tcW w:w="856" w:type="dxa"/>
            <w:noWrap/>
            <w:hideMark/>
          </w:tcPr>
          <w:p w14:paraId="75FF1003"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5</w:t>
            </w:r>
          </w:p>
        </w:tc>
      </w:tr>
      <w:tr w:rsidR="002D6182" w:rsidRPr="00A27FA0" w14:paraId="4C492924" w14:textId="77777777" w:rsidTr="002D6182">
        <w:trPr>
          <w:trHeight w:val="2074"/>
        </w:trPr>
        <w:tc>
          <w:tcPr>
            <w:cnfStyle w:val="001000000000" w:firstRow="0" w:lastRow="0" w:firstColumn="1" w:lastColumn="0" w:oddVBand="0" w:evenVBand="0" w:oddHBand="0" w:evenHBand="0" w:firstRowFirstColumn="0" w:firstRowLastColumn="0" w:lastRowFirstColumn="0" w:lastRowLastColumn="0"/>
            <w:tcW w:w="673" w:type="dxa"/>
            <w:noWrap/>
            <w:hideMark/>
          </w:tcPr>
          <w:p w14:paraId="4FE73F99"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5.2</w:t>
            </w:r>
          </w:p>
        </w:tc>
        <w:tc>
          <w:tcPr>
            <w:tcW w:w="2173" w:type="dxa"/>
            <w:noWrap/>
            <w:hideMark/>
          </w:tcPr>
          <w:p w14:paraId="757FBB47" w14:textId="79D912B5"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Pieteiktā pētniecības projekta budžeta kopsumma sastāda 5% līdz 10% no uzņēmuma 2 gadu vidējā apgrozījuma</w:t>
            </w:r>
          </w:p>
        </w:tc>
        <w:tc>
          <w:tcPr>
            <w:tcW w:w="856" w:type="dxa"/>
            <w:noWrap/>
            <w:hideMark/>
          </w:tcPr>
          <w:p w14:paraId="404085CF"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4</w:t>
            </w:r>
          </w:p>
        </w:tc>
        <w:tc>
          <w:tcPr>
            <w:tcW w:w="649" w:type="dxa"/>
            <w:noWrap/>
            <w:hideMark/>
          </w:tcPr>
          <w:p w14:paraId="065A2926"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6.2</w:t>
            </w:r>
          </w:p>
        </w:tc>
        <w:tc>
          <w:tcPr>
            <w:tcW w:w="3423" w:type="dxa"/>
            <w:hideMark/>
          </w:tcPr>
          <w:p w14:paraId="4BE94D34" w14:textId="52774C18"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Pētniecības projekta plāns ir izstrādāts detalizēti, skaidri definēti pētniecības projekta starpposmi laika grafikā, nodevumi definēti pa projekta starpposmiem, taču starpposmu rezultatīvie rādītāji (gan kvalitatīvie, gan kvantitatīvie) definēti nepilnīgi</w:t>
            </w:r>
          </w:p>
        </w:tc>
        <w:tc>
          <w:tcPr>
            <w:tcW w:w="856" w:type="dxa"/>
            <w:noWrap/>
            <w:hideMark/>
          </w:tcPr>
          <w:p w14:paraId="504398C9" w14:textId="09319E72"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4</w:t>
            </w:r>
          </w:p>
        </w:tc>
      </w:tr>
      <w:tr w:rsidR="002D6182" w:rsidRPr="00A27FA0" w14:paraId="28B68060" w14:textId="77777777" w:rsidTr="002D6182">
        <w:trPr>
          <w:trHeight w:val="2671"/>
        </w:trPr>
        <w:tc>
          <w:tcPr>
            <w:cnfStyle w:val="001000000000" w:firstRow="0" w:lastRow="0" w:firstColumn="1" w:lastColumn="0" w:oddVBand="0" w:evenVBand="0" w:oddHBand="0" w:evenHBand="0" w:firstRowFirstColumn="0" w:firstRowLastColumn="0" w:lastRowFirstColumn="0" w:lastRowLastColumn="0"/>
            <w:tcW w:w="673" w:type="dxa"/>
            <w:noWrap/>
            <w:hideMark/>
          </w:tcPr>
          <w:p w14:paraId="2DBC26EA"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5.3</w:t>
            </w:r>
          </w:p>
        </w:tc>
        <w:tc>
          <w:tcPr>
            <w:tcW w:w="2173" w:type="dxa"/>
            <w:noWrap/>
            <w:hideMark/>
          </w:tcPr>
          <w:p w14:paraId="262DBADF" w14:textId="17AFA29E"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Pieteiktā pētniecības projekta budžeta kopsumma sastāda 10% līdz 20% no uzņēmuma 2 gadu vidējā apgrozījuma</w:t>
            </w:r>
          </w:p>
        </w:tc>
        <w:tc>
          <w:tcPr>
            <w:tcW w:w="856" w:type="dxa"/>
            <w:noWrap/>
            <w:hideMark/>
          </w:tcPr>
          <w:p w14:paraId="4366CB03"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3</w:t>
            </w:r>
          </w:p>
        </w:tc>
        <w:tc>
          <w:tcPr>
            <w:tcW w:w="649" w:type="dxa"/>
            <w:noWrap/>
            <w:hideMark/>
          </w:tcPr>
          <w:p w14:paraId="59870F4D"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6.3</w:t>
            </w:r>
          </w:p>
        </w:tc>
        <w:tc>
          <w:tcPr>
            <w:tcW w:w="3423" w:type="dxa"/>
            <w:hideMark/>
          </w:tcPr>
          <w:p w14:paraId="2D62D551"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Pētniecības projekta plāns ir izstrādāts, definēti pētniecības projekta starpposmi laika grafikā, rezultatīvie rādītāji ir definēti visam projektam kopumā. Starpposmu nodevumi nav definēti vai ir definēti vispārīgi. Nepilnīgi definēti sasniedzamie kvalitatīvie radītāji. Aktivitāšu secībā un sistemātiskumā novērojami novēršami trūkumi.</w:t>
            </w:r>
          </w:p>
        </w:tc>
        <w:tc>
          <w:tcPr>
            <w:tcW w:w="856" w:type="dxa"/>
            <w:noWrap/>
            <w:hideMark/>
          </w:tcPr>
          <w:p w14:paraId="439E3DD2" w14:textId="1D050611"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3</w:t>
            </w:r>
          </w:p>
        </w:tc>
      </w:tr>
      <w:tr w:rsidR="002D6182" w:rsidRPr="00A27FA0" w14:paraId="67519619" w14:textId="77777777" w:rsidTr="002D6182">
        <w:trPr>
          <w:trHeight w:val="1975"/>
        </w:trPr>
        <w:tc>
          <w:tcPr>
            <w:cnfStyle w:val="001000000000" w:firstRow="0" w:lastRow="0" w:firstColumn="1" w:lastColumn="0" w:oddVBand="0" w:evenVBand="0" w:oddHBand="0" w:evenHBand="0" w:firstRowFirstColumn="0" w:firstRowLastColumn="0" w:lastRowFirstColumn="0" w:lastRowLastColumn="0"/>
            <w:tcW w:w="673" w:type="dxa"/>
            <w:noWrap/>
            <w:hideMark/>
          </w:tcPr>
          <w:p w14:paraId="7C67A99B"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5.4</w:t>
            </w:r>
          </w:p>
        </w:tc>
        <w:tc>
          <w:tcPr>
            <w:tcW w:w="2173" w:type="dxa"/>
            <w:hideMark/>
          </w:tcPr>
          <w:p w14:paraId="2FE28B22" w14:textId="47FE3A6D"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Spēj pierādīt, ka uzņēmuma rīcībā ir līdzekļi, lai spētu finansēt projektu.</w:t>
            </w:r>
          </w:p>
        </w:tc>
        <w:tc>
          <w:tcPr>
            <w:tcW w:w="856" w:type="dxa"/>
            <w:noWrap/>
            <w:hideMark/>
          </w:tcPr>
          <w:p w14:paraId="21005984"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2</w:t>
            </w:r>
          </w:p>
        </w:tc>
        <w:tc>
          <w:tcPr>
            <w:tcW w:w="649" w:type="dxa"/>
            <w:noWrap/>
            <w:hideMark/>
          </w:tcPr>
          <w:p w14:paraId="2576DF57"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6.4</w:t>
            </w:r>
          </w:p>
        </w:tc>
        <w:tc>
          <w:tcPr>
            <w:tcW w:w="3423" w:type="dxa"/>
            <w:hideMark/>
          </w:tcPr>
          <w:p w14:paraId="5C62E3E5"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 xml:space="preserve">Pētniecības projekta plāns ir izstrādāts vispārīgi,  projekta starpposmi ir definēti, taču to nodevumi nav definēti. Trūkst kvalitatīvo vai kvantitatīvo sasniedzamo rādītāju. Aktivitāšu secībā ir novērojamas nepilnības. </w:t>
            </w:r>
            <w:r w:rsidRPr="00A27FA0">
              <w:rPr>
                <w:rFonts w:ascii="Times New Roman" w:hAnsi="Times New Roman" w:cs="Times New Roman"/>
                <w:u w:val="single"/>
                <w:lang w:eastAsia="lv-LV"/>
              </w:rPr>
              <w:t>Uzņēmums spēj aizstāvēt un radīt pārliecību par pētījuma mērķa sasniegšanu.</w:t>
            </w:r>
          </w:p>
        </w:tc>
        <w:tc>
          <w:tcPr>
            <w:tcW w:w="856" w:type="dxa"/>
            <w:noWrap/>
            <w:hideMark/>
          </w:tcPr>
          <w:p w14:paraId="58CDB97B" w14:textId="54DFEFE8"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2</w:t>
            </w:r>
          </w:p>
        </w:tc>
      </w:tr>
      <w:tr w:rsidR="002D6182" w:rsidRPr="00A27FA0" w14:paraId="4CB7CC37" w14:textId="77777777" w:rsidTr="002D6182">
        <w:trPr>
          <w:trHeight w:val="1408"/>
        </w:trPr>
        <w:tc>
          <w:tcPr>
            <w:cnfStyle w:val="001000000000" w:firstRow="0" w:lastRow="0" w:firstColumn="1" w:lastColumn="0" w:oddVBand="0" w:evenVBand="0" w:oddHBand="0" w:evenHBand="0" w:firstRowFirstColumn="0" w:firstRowLastColumn="0" w:lastRowFirstColumn="0" w:lastRowLastColumn="0"/>
            <w:tcW w:w="673" w:type="dxa"/>
            <w:noWrap/>
            <w:hideMark/>
          </w:tcPr>
          <w:p w14:paraId="3FF824EF" w14:textId="77777777" w:rsidR="002D6182" w:rsidRPr="00A27FA0" w:rsidRDefault="002D6182" w:rsidP="002D6182">
            <w:pPr>
              <w:jc w:val="both"/>
              <w:rPr>
                <w:rFonts w:ascii="Times New Roman" w:hAnsi="Times New Roman" w:cs="Times New Roman"/>
                <w:lang w:eastAsia="lv-LV"/>
              </w:rPr>
            </w:pPr>
            <w:r w:rsidRPr="00A27FA0">
              <w:rPr>
                <w:rFonts w:ascii="Times New Roman" w:hAnsi="Times New Roman" w:cs="Times New Roman"/>
                <w:lang w:eastAsia="lv-LV"/>
              </w:rPr>
              <w:t>5.5</w:t>
            </w:r>
          </w:p>
        </w:tc>
        <w:tc>
          <w:tcPr>
            <w:tcW w:w="2173" w:type="dxa"/>
            <w:hideMark/>
          </w:tcPr>
          <w:p w14:paraId="2DADB539" w14:textId="7F1435D2"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rPr>
              <w:t>Uzņēmums rada pārliecību, ka tas spēs piesaistīt līdzekļus, lai finansētu projektu.</w:t>
            </w:r>
          </w:p>
        </w:tc>
        <w:tc>
          <w:tcPr>
            <w:tcW w:w="856" w:type="dxa"/>
            <w:noWrap/>
            <w:hideMark/>
          </w:tcPr>
          <w:p w14:paraId="7C0E21B9"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1</w:t>
            </w:r>
          </w:p>
        </w:tc>
        <w:tc>
          <w:tcPr>
            <w:tcW w:w="649" w:type="dxa"/>
            <w:noWrap/>
            <w:hideMark/>
          </w:tcPr>
          <w:p w14:paraId="4530A420"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lang w:eastAsia="lv-LV"/>
              </w:rPr>
            </w:pPr>
            <w:r w:rsidRPr="00A27FA0">
              <w:rPr>
                <w:rFonts w:ascii="Times New Roman" w:hAnsi="Times New Roman" w:cs="Times New Roman"/>
                <w:b/>
                <w:bCs/>
                <w:lang w:eastAsia="lv-LV"/>
              </w:rPr>
              <w:t>6.5</w:t>
            </w:r>
          </w:p>
        </w:tc>
        <w:tc>
          <w:tcPr>
            <w:tcW w:w="3423" w:type="dxa"/>
            <w:hideMark/>
          </w:tcPr>
          <w:p w14:paraId="76154B72" w14:textId="33C50A46"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Pētniecības projekta plāns ir izstrādāts vispārīgi. Nav identificējams vai ticams, ka pēc šāda plāna iespējams sasniegt izvirzīto pētījuma mērķi.</w:t>
            </w:r>
          </w:p>
        </w:tc>
        <w:tc>
          <w:tcPr>
            <w:tcW w:w="856" w:type="dxa"/>
            <w:noWrap/>
            <w:hideMark/>
          </w:tcPr>
          <w:p w14:paraId="29FC3CDE" w14:textId="77777777" w:rsidR="002D6182" w:rsidRPr="00A27FA0" w:rsidRDefault="002D6182" w:rsidP="002D618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lv-LV"/>
              </w:rPr>
            </w:pPr>
            <w:r w:rsidRPr="00A27FA0">
              <w:rPr>
                <w:rFonts w:ascii="Times New Roman" w:hAnsi="Times New Roman" w:cs="Times New Roman"/>
                <w:lang w:eastAsia="lv-LV"/>
              </w:rPr>
              <w:t>1</w:t>
            </w:r>
          </w:p>
        </w:tc>
      </w:tr>
    </w:tbl>
    <w:p w14:paraId="20DD6655" w14:textId="77777777" w:rsidR="0068398D" w:rsidRPr="00A27FA0" w:rsidRDefault="0068398D" w:rsidP="000E16D3">
      <w:pPr>
        <w:jc w:val="both"/>
        <w:rPr>
          <w:rFonts w:ascii="Times New Roman" w:hAnsi="Times New Roman" w:cs="Times New Roman"/>
          <w:lang w:eastAsia="lv-LV"/>
        </w:rPr>
      </w:pPr>
    </w:p>
    <w:p w14:paraId="3E1200DC" w14:textId="7AB769C4" w:rsidR="00776B0E" w:rsidRPr="00A27FA0" w:rsidRDefault="00776B0E" w:rsidP="00BE234A">
      <w:pPr>
        <w:pStyle w:val="Heading2"/>
        <w:numPr>
          <w:ilvl w:val="1"/>
          <w:numId w:val="39"/>
        </w:numPr>
        <w:rPr>
          <w:rFonts w:ascii="Times New Roman" w:hAnsi="Times New Roman" w:cs="Times New Roman"/>
          <w:color w:val="002060"/>
          <w:sz w:val="22"/>
          <w:szCs w:val="18"/>
        </w:rPr>
      </w:pPr>
      <w:r w:rsidRPr="00A27FA0">
        <w:rPr>
          <w:rFonts w:ascii="Times New Roman" w:hAnsi="Times New Roman" w:cs="Times New Roman"/>
          <w:color w:val="002060"/>
          <w:sz w:val="22"/>
          <w:szCs w:val="18"/>
        </w:rPr>
        <w:lastRenderedPageBreak/>
        <w:t>Nosacījumi, lai pētniecības projekts tiktu apstiprināts</w:t>
      </w:r>
    </w:p>
    <w:p w14:paraId="6EAF2C1C" w14:textId="77777777" w:rsidR="000D0E3C" w:rsidRPr="00A27FA0" w:rsidRDefault="000D0E3C" w:rsidP="000D0E3C">
      <w:pPr>
        <w:keepLines/>
        <w:numPr>
          <w:ilvl w:val="0"/>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 xml:space="preserve">Jāsaņem pozitīvs vērtējums jeb konstatēta neatbilstība izslēdzošajos vērtēšanas kritērijos: </w:t>
      </w:r>
    </w:p>
    <w:p w14:paraId="513C2874" w14:textId="77777777" w:rsidR="000D0E3C"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 xml:space="preserve">sadarbības partneris ir atzīts par vainīgu jebkurā no šādiem noziedzīgiem nodarījumiem: </w:t>
      </w:r>
    </w:p>
    <w:p w14:paraId="0BE8D4C4"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noziedzīgas organizācijas izveidošana, vadīšana, iesaistīšanās tajā vai tās sastāvā ietilpstošā organizētā grupā vai citā noziedzīgā formējumā vai piedalīšanās šādas organizācijas izdarītos noziedzīgos nodarījumos;</w:t>
      </w:r>
    </w:p>
    <w:p w14:paraId="7E3728E2"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kukuļņemšana, kukuļdošana, kukuļa piesavināšanās, starpniecība kukuļošanā, neatļauta labumu pieņemšana vai komerciāla uzpirkšana, prettiesiska labumu pieprasīšana, pieņemšana vai došana, tirgošanās ar ietekmi;</w:t>
      </w:r>
    </w:p>
    <w:p w14:paraId="25286375"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krāpšana, krāpšana automatizētā datu apstrādes sistēmā, apdrošināšanas krāpšana, piesavināšanās vai noziedzīgi iegūtu līdzekļu legalizēšana;</w:t>
      </w:r>
    </w:p>
    <w:p w14:paraId="197C5500"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izvairīšanās no nodokļu un tiem pielīdzināto maksājumu nomaksas;</w:t>
      </w:r>
    </w:p>
    <w:p w14:paraId="51D59E24"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terorisms, terorisma finansēšana, teroristu grupas izveide vai organizēšana, ceļošana terorisma nolūkā, terorisma attaisnošana, aicinājums uz terorismu, terorisma draudi vai personas vervēšana, apmācīšana un apmācīšanās terorismam;</w:t>
      </w:r>
    </w:p>
    <w:p w14:paraId="0B20AD50"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cilvēku tirdzniecība;</w:t>
      </w:r>
    </w:p>
    <w:p w14:paraId="7FA58E8E"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tādu preču un vielu pārvietošana pāri Latvijas Republikas valsts robežai, kuru aprite ir aizliegta vai speciāli reglamentēta;</w:t>
      </w:r>
    </w:p>
    <w:p w14:paraId="0D5ADC25" w14:textId="77777777" w:rsidR="000D0E3C" w:rsidRPr="00A27FA0" w:rsidRDefault="000D0E3C" w:rsidP="000D0E3C">
      <w:pPr>
        <w:keepLines/>
        <w:numPr>
          <w:ilvl w:val="2"/>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neatļauta piedalīšanās mantiskos darījumos;</w:t>
      </w:r>
    </w:p>
    <w:p w14:paraId="71BC22F9" w14:textId="77777777" w:rsidR="000D0E3C"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tas ar tādu attiecīgajā jomā kompetentas institūcijas lēmumu par sodu vai tiesas spriedumu, kas stājies spēkā un kļuvis nepārsūdzams, ir atzīts par vainīgu un sodīts par pārkāpumu, kas izpaužas kā vienas vai vairāku personu nodarbināšana, ja tām nav nepieciešamās darba atļaujas vai ja tās nav tiesīgas uzturēties Eiropas Savienības dalībvalstī, vai kā personas nodarbināšana bez rakstveidā noslēgta darba līguma;</w:t>
      </w:r>
    </w:p>
    <w:p w14:paraId="599698C0" w14:textId="77777777" w:rsidR="000D0E3C"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tas ar tādu attiecīgajā jomā kompetentas institūcijas lēmumu vai tiesas spriedumu, kas stājies spēkā un kļuvis nepārsūdzams, ir atzīts par vainīgu konkurences tiesību pārkāpumā, kas izpaužas kā vertikālā vienošanās, kuras mērķis ir ierobežot pircēja iespēju noteikt tālākpārdošanas cenu, vai kā horizontālā karteļa vienošanās, izņemot gadījumu, ja attiecīgā institūcija, konstatējot konkurences tiesību pārkāpumu, par sadarbību iecietības programmas ietvaros projekta iesniedzēju ir atbrīvojusi no naudas soda vai naudas sodu samazinājusi;</w:t>
      </w:r>
    </w:p>
    <w:p w14:paraId="016EE5FB" w14:textId="77777777" w:rsidR="000D0E3C"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ir pasludināts tā maksātnespējas process, ierosināta tiesiskās aizsardzības procesa lieta vai tiek īstenots tiesiskās aizsardzības process, apturēta vai pārtraukta tā saimnieciskā darbība vai tas tiek likvidēts;</w:t>
      </w:r>
    </w:p>
    <w:p w14:paraId="167974B3" w14:textId="77777777" w:rsidR="000D0E3C"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tas ar tādu attiecīgajā jomā kompetentas institūcijas lēmumu par sodu vai tiesas spriedumu, kas stājies spēkā un kļuvis nepārsūdzams, ir atzīts par vainīgu un sodīts par pārkāpumu, kas izpaužas kā normatīvajos aktos noteiktajā termiņā neiesniegta informatīvā deklarācija par darbiniekiem, kas iesniedzama par personām, kuras uzsāk darbu;</w:t>
      </w:r>
    </w:p>
    <w:p w14:paraId="4C7EB871" w14:textId="77777777" w:rsidR="000D0E3C"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tas atbilst Starptautisko un Latvijas Republikas nacionālo sankciju likuma 11.2 panta pirmajā daļā noteiktajām pazīmēm;</w:t>
      </w:r>
    </w:p>
    <w:p w14:paraId="20734DFE" w14:textId="5652C485" w:rsidR="0022197B" w:rsidRPr="00A27FA0" w:rsidRDefault="000D0E3C" w:rsidP="000D0E3C">
      <w:pPr>
        <w:keepLines/>
        <w:numPr>
          <w:ilvl w:val="1"/>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uz to attiecas līdzekļu atgūšanas rīkojums, kas minēts Komisijas regulas Nr. 651/2014 1. panta 4. punkta "a" apakšpunktā.</w:t>
      </w:r>
    </w:p>
    <w:p w14:paraId="4D9DDB85" w14:textId="77777777" w:rsidR="00776B0E" w:rsidRPr="00A27FA0" w:rsidRDefault="00776B0E" w:rsidP="00776B0E">
      <w:pPr>
        <w:keepLines/>
        <w:numPr>
          <w:ilvl w:val="0"/>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Vērtējums vismaz "2" ir jāsaņem katrā kvalitatīvajā kritērija vērtējumā;</w:t>
      </w:r>
    </w:p>
    <w:p w14:paraId="1CD8589C" w14:textId="7E8EA436" w:rsidR="00AD5CF2" w:rsidRPr="00A27FA0" w:rsidRDefault="00AD5CF2" w:rsidP="004E718C">
      <w:pPr>
        <w:pStyle w:val="ListParagraph"/>
        <w:numPr>
          <w:ilvl w:val="1"/>
          <w:numId w:val="10"/>
        </w:numPr>
        <w:jc w:val="both"/>
        <w:rPr>
          <w:sz w:val="22"/>
          <w:szCs w:val="22"/>
          <w:lang w:val="lv-LV" w:eastAsia="lv-LV"/>
        </w:rPr>
      </w:pPr>
      <w:r w:rsidRPr="00A27FA0">
        <w:rPr>
          <w:sz w:val="22"/>
          <w:szCs w:val="22"/>
          <w:lang w:val="lv-LV" w:eastAsia="lv-LV"/>
        </w:rPr>
        <w:lastRenderedPageBreak/>
        <w:t>Pie punktu skaitīšanas katrai grupai tiek vērtēts vidējais rezultāts</w:t>
      </w:r>
      <w:r w:rsidR="00F24935" w:rsidRPr="00A27FA0">
        <w:rPr>
          <w:sz w:val="22"/>
          <w:szCs w:val="22"/>
          <w:lang w:val="lv-LV" w:eastAsia="lv-LV"/>
        </w:rPr>
        <w:t>.</w:t>
      </w:r>
      <w:r w:rsidRPr="00A27FA0">
        <w:rPr>
          <w:sz w:val="22"/>
          <w:szCs w:val="22"/>
          <w:lang w:val="lv-LV" w:eastAsia="lv-LV"/>
        </w:rPr>
        <w:t xml:space="preserve"> Piemēr</w:t>
      </w:r>
      <w:r w:rsidR="00F24935" w:rsidRPr="00A27FA0">
        <w:rPr>
          <w:sz w:val="22"/>
          <w:szCs w:val="22"/>
          <w:lang w:val="lv-LV" w:eastAsia="lv-LV"/>
        </w:rPr>
        <w:t>a</w:t>
      </w:r>
      <w:r w:rsidRPr="00A27FA0">
        <w:rPr>
          <w:sz w:val="22"/>
          <w:szCs w:val="22"/>
          <w:lang w:val="lv-LV" w:eastAsia="lv-LV"/>
        </w:rPr>
        <w:t xml:space="preserve">m, </w:t>
      </w:r>
      <w:r w:rsidR="0015341D" w:rsidRPr="00A27FA0">
        <w:rPr>
          <w:sz w:val="22"/>
          <w:szCs w:val="22"/>
          <w:lang w:val="lv-LV" w:eastAsia="lv-LV"/>
        </w:rPr>
        <w:t>(</w:t>
      </w:r>
      <w:r w:rsidRPr="00A27FA0">
        <w:rPr>
          <w:sz w:val="22"/>
          <w:szCs w:val="22"/>
          <w:lang w:val="lv-LV" w:eastAsia="lv-LV"/>
        </w:rPr>
        <w:t>punktu skaits "Pienesums Pārtikas nozarē kopumā" + "Pienesums patiesā labuma guvējam pārtikas nozarē”) /2.</w:t>
      </w:r>
    </w:p>
    <w:p w14:paraId="32CC07F4" w14:textId="791E84E8" w:rsidR="00AD5CF2" w:rsidRPr="00A27FA0" w:rsidRDefault="00AD5CF2" w:rsidP="004E718C">
      <w:pPr>
        <w:pStyle w:val="ListParagraph"/>
        <w:numPr>
          <w:ilvl w:val="1"/>
          <w:numId w:val="10"/>
        </w:numPr>
        <w:jc w:val="both"/>
        <w:rPr>
          <w:sz w:val="22"/>
          <w:szCs w:val="22"/>
          <w:lang w:val="lv-LV" w:eastAsia="lv-LV"/>
        </w:rPr>
      </w:pPr>
      <w:r w:rsidRPr="00A27FA0">
        <w:rPr>
          <w:sz w:val="22"/>
          <w:szCs w:val="22"/>
          <w:lang w:val="lv-LV" w:eastAsia="lv-LV"/>
        </w:rPr>
        <w:t xml:space="preserve">Kad visām 3 grupām ir salikti rezultāti, saskaita punktu no katras grupas vidējā rezultāta. </w:t>
      </w:r>
    </w:p>
    <w:p w14:paraId="3BFB635F" w14:textId="1A370685" w:rsidR="00776B0E" w:rsidRPr="00A27FA0" w:rsidRDefault="00AD5CF2" w:rsidP="00776B0E">
      <w:pPr>
        <w:keepLines/>
        <w:numPr>
          <w:ilvl w:val="0"/>
          <w:numId w:val="10"/>
        </w:numPr>
        <w:spacing w:before="120" w:after="0" w:line="240" w:lineRule="auto"/>
        <w:contextualSpacing/>
        <w:jc w:val="both"/>
        <w:rPr>
          <w:rFonts w:ascii="Times New Roman" w:eastAsia="Segoe UI" w:hAnsi="Times New Roman" w:cs="Times New Roman"/>
          <w:szCs w:val="24"/>
        </w:rPr>
      </w:pPr>
      <w:r w:rsidRPr="00A27FA0">
        <w:rPr>
          <w:rFonts w:ascii="Times New Roman" w:eastAsia="Segoe UI" w:hAnsi="Times New Roman" w:cs="Times New Roman"/>
          <w:szCs w:val="24"/>
        </w:rPr>
        <w:t>K</w:t>
      </w:r>
      <w:r w:rsidR="00776B0E" w:rsidRPr="00A27FA0">
        <w:rPr>
          <w:rFonts w:ascii="Times New Roman" w:eastAsia="Segoe UI" w:hAnsi="Times New Roman" w:cs="Times New Roman"/>
          <w:szCs w:val="24"/>
        </w:rPr>
        <w:t xml:space="preserve">ritēriju vērtējumā tiek salīdzināti pētniecības projekti savā starpā vienas </w:t>
      </w:r>
      <w:r w:rsidR="002315A8" w:rsidRPr="00A27FA0">
        <w:rPr>
          <w:rFonts w:ascii="Times New Roman" w:eastAsia="Segoe UI" w:hAnsi="Times New Roman" w:cs="Times New Roman"/>
          <w:szCs w:val="24"/>
        </w:rPr>
        <w:t xml:space="preserve">PPVK </w:t>
      </w:r>
      <w:r w:rsidR="00776B0E" w:rsidRPr="00A27FA0">
        <w:rPr>
          <w:rFonts w:ascii="Times New Roman" w:eastAsia="Segoe UI" w:hAnsi="Times New Roman" w:cs="Times New Roman"/>
          <w:szCs w:val="24"/>
        </w:rPr>
        <w:t>sēdes ietvaros.</w:t>
      </w:r>
    </w:p>
    <w:p w14:paraId="7CC9F30C" w14:textId="77777777" w:rsidR="00163B72" w:rsidRPr="00A27FA0" w:rsidRDefault="00163B72" w:rsidP="00163B72">
      <w:pPr>
        <w:keepLines/>
        <w:numPr>
          <w:ilvl w:val="0"/>
          <w:numId w:val="10"/>
        </w:numPr>
        <w:spacing w:before="120" w:after="0" w:line="240" w:lineRule="auto"/>
        <w:contextualSpacing/>
        <w:jc w:val="both"/>
        <w:rPr>
          <w:rFonts w:ascii="Times New Roman" w:eastAsia="Times New Roman" w:hAnsi="Times New Roman" w:cs="Times New Roman"/>
        </w:rPr>
      </w:pPr>
      <w:r w:rsidRPr="00A27FA0">
        <w:rPr>
          <w:rFonts w:ascii="Times New Roman" w:eastAsia="Times New Roman" w:hAnsi="Times New Roman" w:cs="Times New Roman"/>
        </w:rPr>
        <w:t>Augstāks punktu novērtējums tiek piešķirts tam pētniecības projekta iesniegumam, kas saņēmis izcilības zīmogu Eiropas Savienības pētniecības un inovāciju programmā "Apvārsnis Eiropa", atbilstoši MK noteikumu 39. punktam vai pētniecības projektā ir paredzēta starptautiska sadarbība</w:t>
      </w:r>
    </w:p>
    <w:p w14:paraId="30A7FBCC" w14:textId="77777777" w:rsidR="00532891" w:rsidRPr="00A27FA0" w:rsidRDefault="00532891" w:rsidP="00532891">
      <w:pPr>
        <w:pStyle w:val="ListParagraph"/>
        <w:keepLines/>
        <w:numPr>
          <w:ilvl w:val="0"/>
          <w:numId w:val="10"/>
        </w:numPr>
        <w:spacing w:before="120"/>
        <w:rPr>
          <w:lang w:val="lv-LV"/>
        </w:rPr>
      </w:pPr>
      <w:r w:rsidRPr="00A27FA0">
        <w:rPr>
          <w:lang w:val="lv-LV"/>
        </w:rPr>
        <w:t xml:space="preserve">Ja vairākiem projektiem ir vienāds punktu skaits, bet pieejamais finansējums nav pietiekošs visu projektu apstiprināšanai, tad </w:t>
      </w:r>
      <w:r w:rsidRPr="00A27FA0">
        <w:rPr>
          <w:b/>
          <w:bCs/>
          <w:lang w:val="lv-LV"/>
        </w:rPr>
        <w:t>papildus</w:t>
      </w:r>
      <w:r w:rsidRPr="00A27FA0">
        <w:rPr>
          <w:lang w:val="lv-LV"/>
        </w:rPr>
        <w:t xml:space="preserve"> tiek pielietoti sekojoši principi:</w:t>
      </w:r>
    </w:p>
    <w:p w14:paraId="4C40F1D4" w14:textId="77777777" w:rsidR="00532891" w:rsidRPr="00A27FA0" w:rsidRDefault="00532891" w:rsidP="00532891">
      <w:pPr>
        <w:pStyle w:val="ListParagraph"/>
        <w:numPr>
          <w:ilvl w:val="1"/>
          <w:numId w:val="10"/>
        </w:numPr>
        <w:spacing w:after="120"/>
        <w:ind w:left="1630" w:hanging="550"/>
        <w:jc w:val="both"/>
        <w:rPr>
          <w:sz w:val="22"/>
          <w:lang w:val="lv-LV"/>
        </w:rPr>
      </w:pPr>
      <w:r w:rsidRPr="00A27FA0">
        <w:rPr>
          <w:sz w:val="22"/>
          <w:lang w:val="lv-LV"/>
        </w:rPr>
        <w:t xml:space="preserve">tiek vērtēts tuvums rezultātam – inovācijai </w:t>
      </w:r>
      <w:r w:rsidRPr="00A27FA0">
        <w:rPr>
          <w:sz w:val="22"/>
          <w:szCs w:val="28"/>
          <w:lang w:val="lv-LV"/>
        </w:rPr>
        <w:t>un komercializācijas potenciālam</w:t>
      </w:r>
      <w:r w:rsidRPr="00A27FA0">
        <w:rPr>
          <w:sz w:val="22"/>
          <w:lang w:val="lv-LV"/>
        </w:rPr>
        <w:t xml:space="preserve">: </w:t>
      </w:r>
      <w:r w:rsidRPr="00A27FA0">
        <w:rPr>
          <w:lang w:val="lv-LV"/>
        </w:rPr>
        <w:t>prioritāri atbalsta pētniecības projektu ar augstāku TRL līmeni, vai pēc augstāka eksperimentālās izstrādes izmaksu īpatsvara pret kopējo projekta budžetu;</w:t>
      </w:r>
      <w:r w:rsidRPr="00A27FA0">
        <w:rPr>
          <w:color w:val="000000"/>
          <w:sz w:val="22"/>
          <w:szCs w:val="28"/>
          <w:lang w:val="lv-LV"/>
        </w:rPr>
        <w:t xml:space="preserve"> vienlaikus gūstot pārliecību par </w:t>
      </w:r>
      <w:r w:rsidRPr="00A27FA0">
        <w:rPr>
          <w:sz w:val="22"/>
          <w:szCs w:val="28"/>
          <w:lang w:val="lv-LV"/>
        </w:rPr>
        <w:t>pētniecības projekta iesniedzēja kapacitāti, ka tiks ieviestas jauna tehnoloģija, pakalpojums vai produkts</w:t>
      </w:r>
    </w:p>
    <w:p w14:paraId="728A3EBC" w14:textId="77777777" w:rsidR="00532891" w:rsidRPr="00A27FA0" w:rsidRDefault="00532891" w:rsidP="00532891">
      <w:pPr>
        <w:pStyle w:val="ListParagraph"/>
        <w:numPr>
          <w:ilvl w:val="1"/>
          <w:numId w:val="10"/>
        </w:numPr>
        <w:spacing w:after="120"/>
        <w:ind w:left="1630" w:hanging="550"/>
        <w:jc w:val="both"/>
        <w:rPr>
          <w:sz w:val="22"/>
          <w:lang w:val="lv-LV"/>
        </w:rPr>
      </w:pPr>
      <w:r w:rsidRPr="00A27FA0">
        <w:rPr>
          <w:sz w:val="22"/>
          <w:lang w:val="lv-LV"/>
        </w:rPr>
        <w:t>tiek vērtēts, vai pētniecības projekta iesniedzējs ir no statistiskā reģiona ar zemāku IKP;</w:t>
      </w:r>
    </w:p>
    <w:p w14:paraId="3C95A1A4" w14:textId="77777777" w:rsidR="00532891" w:rsidRPr="00A27FA0" w:rsidRDefault="00532891" w:rsidP="00532891">
      <w:pPr>
        <w:pStyle w:val="ListParagraph"/>
        <w:numPr>
          <w:ilvl w:val="1"/>
          <w:numId w:val="10"/>
        </w:numPr>
        <w:spacing w:after="120"/>
        <w:ind w:left="1630" w:hanging="550"/>
        <w:jc w:val="both"/>
        <w:rPr>
          <w:sz w:val="22"/>
          <w:lang w:val="lv-LV"/>
        </w:rPr>
      </w:pPr>
      <w:r w:rsidRPr="00A27FA0">
        <w:rPr>
          <w:sz w:val="22"/>
          <w:lang w:val="lv-LV"/>
        </w:rPr>
        <w:t>priekšroka tiek dota projektiem par eko-inovatīvu tehnoloģiju attīstību un ieviešanu;</w:t>
      </w:r>
    </w:p>
    <w:p w14:paraId="5366E76B" w14:textId="77777777" w:rsidR="00532891" w:rsidRPr="00A27FA0" w:rsidRDefault="00532891" w:rsidP="00532891">
      <w:pPr>
        <w:pStyle w:val="ListParagraph"/>
        <w:numPr>
          <w:ilvl w:val="1"/>
          <w:numId w:val="10"/>
        </w:numPr>
        <w:spacing w:after="120"/>
        <w:ind w:left="1630" w:hanging="550"/>
        <w:jc w:val="both"/>
        <w:rPr>
          <w:sz w:val="22"/>
          <w:lang w:val="lv-LV"/>
        </w:rPr>
      </w:pPr>
      <w:r w:rsidRPr="00A27FA0">
        <w:rPr>
          <w:sz w:val="22"/>
          <w:lang w:val="lv-LV"/>
        </w:rPr>
        <w:t xml:space="preserve">tiek vērtēts iesaistīto sadarbības partneru kompetences palielinājums: </w:t>
      </w:r>
      <w:r w:rsidRPr="00A27FA0">
        <w:rPr>
          <w:lang w:val="lv-LV"/>
        </w:rPr>
        <w:t>kompetences palielinājumu demonstrē lielāks tādu izmaksu īpatsvars, kas ir saistītas ar zināšanu apstrādes, ieguves vai veidošanas aktivitātēm pašā uzņēmumā vai ar pētniecības projektu saistītā pētniecības organizācijā;</w:t>
      </w:r>
    </w:p>
    <w:p w14:paraId="2DC8E1B8" w14:textId="77777777" w:rsidR="00532891" w:rsidRPr="00A27FA0" w:rsidRDefault="00532891" w:rsidP="00532891">
      <w:pPr>
        <w:pStyle w:val="ListParagraph"/>
        <w:numPr>
          <w:ilvl w:val="0"/>
          <w:numId w:val="10"/>
        </w:numPr>
        <w:jc w:val="both"/>
        <w:rPr>
          <w:sz w:val="22"/>
          <w:szCs w:val="28"/>
          <w:lang w:val="lv-LV"/>
        </w:rPr>
      </w:pPr>
      <w:r w:rsidRPr="00A27FA0">
        <w:rPr>
          <w:sz w:val="22"/>
          <w:szCs w:val="28"/>
          <w:lang w:val="lv-LV"/>
        </w:rPr>
        <w:t xml:space="preserve">Ja pētniecības projektiem pēc 5. punkta vērtēšanas ir vienāds kopējais punktu skaits, tad apstiprina to pētniecības projektu, kuram ir lielāks punktu skaits 5. a) kritērijā. </w:t>
      </w:r>
    </w:p>
    <w:p w14:paraId="0E880E43" w14:textId="77777777" w:rsidR="00532891" w:rsidRPr="00A27FA0" w:rsidRDefault="00532891" w:rsidP="00532891">
      <w:pPr>
        <w:pStyle w:val="ListParagraph"/>
        <w:numPr>
          <w:ilvl w:val="0"/>
          <w:numId w:val="10"/>
        </w:numPr>
        <w:jc w:val="both"/>
        <w:rPr>
          <w:sz w:val="22"/>
          <w:szCs w:val="28"/>
          <w:lang w:val="lv-LV"/>
        </w:rPr>
      </w:pPr>
      <w:r w:rsidRPr="00A27FA0">
        <w:rPr>
          <w:sz w:val="22"/>
          <w:szCs w:val="28"/>
          <w:lang w:val="lv-LV"/>
        </w:rPr>
        <w:t xml:space="preserve">Ja pētniecības projektiem pēc 6. punkta vērtēšanas ir vienāds kopējais punkti skaits, tad apstiprina to pētniecības projektu, kurš 5.b) kritērijā ir no statistiskā reģiona ar zemāku IKP. </w:t>
      </w:r>
    </w:p>
    <w:p w14:paraId="1497DF95" w14:textId="77777777" w:rsidR="00532891" w:rsidRPr="00A27FA0" w:rsidRDefault="00532891" w:rsidP="00532891">
      <w:pPr>
        <w:pStyle w:val="ListParagraph"/>
        <w:keepLines/>
        <w:numPr>
          <w:ilvl w:val="0"/>
          <w:numId w:val="10"/>
        </w:numPr>
        <w:spacing w:before="120" w:after="120"/>
        <w:jc w:val="both"/>
        <w:rPr>
          <w:lang w:val="lv-LV"/>
        </w:rPr>
      </w:pPr>
      <w:r w:rsidRPr="00A27FA0">
        <w:rPr>
          <w:sz w:val="22"/>
          <w:szCs w:val="28"/>
          <w:lang w:val="lv-LV"/>
        </w:rPr>
        <w:t>Ja pētniecības projektiem pēc 7. punkta vērtēšanas ir vienāds kopējais punkti skaits, tad apstiprina pētniecības projektu ar lielāku punktu skaits 5.c) kritērijā.</w:t>
      </w:r>
    </w:p>
    <w:p w14:paraId="2614D074" w14:textId="77777777" w:rsidR="00532891" w:rsidRPr="00A27FA0" w:rsidRDefault="00532891" w:rsidP="00532891">
      <w:pPr>
        <w:jc w:val="both"/>
        <w:rPr>
          <w:rFonts w:ascii="Times New Roman" w:hAnsi="Times New Roman" w:cs="Times New Roman"/>
        </w:rPr>
      </w:pPr>
    </w:p>
    <w:p w14:paraId="5D3D91CD" w14:textId="621CD8CA" w:rsidR="00532891" w:rsidRPr="00A27FA0" w:rsidRDefault="00532891" w:rsidP="00532891">
      <w:pPr>
        <w:jc w:val="both"/>
        <w:rPr>
          <w:rFonts w:ascii="Times New Roman" w:hAnsi="Times New Roman" w:cs="Times New Roman"/>
          <w:strike/>
        </w:rPr>
      </w:pPr>
      <w:r w:rsidRPr="00A27FA0">
        <w:rPr>
          <w:rFonts w:ascii="Times New Roman" w:hAnsi="Times New Roman" w:cs="Times New Roman"/>
        </w:rPr>
        <w:t xml:space="preserve">Ja projektiem pēc papildus principu piemērošanas ir vienāds punktu skaits, tad apstiprina to pētniecības projektu, kuram ir lielāks punktu skaits papildu kritērijā (a): tuvums rezultātam – inovācijai un komercializācijas potenciālam, prioritāri atbalstot pētniecības projektu ar augstāku TRL līmeni, vai pēc augstāka eksperimentālās izstrādes izmaksu īpatsvara pret kopējo projekta budžetu, vienlaikus gūstot pārliecību par pētniecības projekta iesniedzēja kapacitāti, ka tiks ieviestas jauna tehnoloģija, pakalpojums vai produkts. </w:t>
      </w:r>
    </w:p>
    <w:p w14:paraId="733C76E5" w14:textId="77777777" w:rsidR="00776B0E" w:rsidRPr="00A27FA0" w:rsidRDefault="00776B0E" w:rsidP="00776B0E">
      <w:pPr>
        <w:rPr>
          <w:rFonts w:ascii="Times New Roman" w:hAnsi="Times New Roman" w:cs="Times New Roman"/>
          <w:b/>
          <w:u w:val="single"/>
        </w:rPr>
      </w:pPr>
      <w:r w:rsidRPr="00A27FA0">
        <w:rPr>
          <w:rFonts w:ascii="Times New Roman" w:hAnsi="Times New Roman" w:cs="Times New Roman"/>
          <w:b/>
          <w:u w:val="single"/>
        </w:rPr>
        <w:t xml:space="preserve">Tiek ievērots, ka: </w:t>
      </w:r>
    </w:p>
    <w:p w14:paraId="71AA377C" w14:textId="3733DB5B" w:rsidR="00776B0E" w:rsidRPr="00A27FA0" w:rsidRDefault="00776B0E" w:rsidP="00776B0E">
      <w:pPr>
        <w:pStyle w:val="ListParagraph"/>
        <w:numPr>
          <w:ilvl w:val="0"/>
          <w:numId w:val="11"/>
        </w:numPr>
        <w:spacing w:after="120"/>
        <w:jc w:val="both"/>
        <w:rPr>
          <w:sz w:val="22"/>
          <w:szCs w:val="22"/>
          <w:lang w:val="lv-LV"/>
        </w:rPr>
      </w:pPr>
      <w:r w:rsidRPr="00A27FA0">
        <w:rPr>
          <w:sz w:val="22"/>
          <w:szCs w:val="20"/>
          <w:lang w:val="lv-LV"/>
        </w:rPr>
        <w:t xml:space="preserve">Atbalsts tiek sniegts tikai tādām pētniecības projekta darbībām, kas tiek uzsāktas pēc pētniecības projekta iesnieguma iesniegšanas dienas </w:t>
      </w:r>
      <w:r w:rsidR="004A3969" w:rsidRPr="00A27FA0">
        <w:rPr>
          <w:sz w:val="22"/>
          <w:szCs w:val="20"/>
          <w:lang w:val="lv-LV"/>
        </w:rPr>
        <w:t>CFLA</w:t>
      </w:r>
      <w:r w:rsidRPr="00A27FA0">
        <w:rPr>
          <w:sz w:val="22"/>
          <w:szCs w:val="20"/>
          <w:lang w:val="lv-LV"/>
        </w:rPr>
        <w:t xml:space="preserve">. Izmaksu </w:t>
      </w:r>
      <w:r w:rsidRPr="00A27FA0">
        <w:rPr>
          <w:sz w:val="22"/>
          <w:szCs w:val="20"/>
          <w:lang w:val="lv-LV"/>
        </w:rPr>
        <w:lastRenderedPageBreak/>
        <w:t xml:space="preserve">attiecināmība sākas no projekta iesnieguma vai pētniecības projekta iesnieguma iesniegšanas dienas </w:t>
      </w:r>
      <w:r w:rsidR="004A3969" w:rsidRPr="00A27FA0">
        <w:rPr>
          <w:sz w:val="22"/>
          <w:szCs w:val="20"/>
          <w:lang w:val="lv-LV"/>
        </w:rPr>
        <w:t>CFLA</w:t>
      </w:r>
      <w:r w:rsidRPr="00A27FA0">
        <w:rPr>
          <w:sz w:val="22"/>
          <w:szCs w:val="20"/>
          <w:lang w:val="lv-LV"/>
        </w:rPr>
        <w:t>.</w:t>
      </w:r>
    </w:p>
    <w:p w14:paraId="2A1F7979" w14:textId="3A1ED049" w:rsidR="00776B0E" w:rsidRPr="00A27FA0" w:rsidRDefault="00776B0E" w:rsidP="00776B0E">
      <w:pPr>
        <w:pStyle w:val="ListParagraph"/>
        <w:numPr>
          <w:ilvl w:val="0"/>
          <w:numId w:val="11"/>
        </w:numPr>
        <w:spacing w:after="120"/>
        <w:jc w:val="both"/>
        <w:rPr>
          <w:sz w:val="22"/>
          <w:szCs w:val="22"/>
          <w:lang w:val="lv-LV"/>
        </w:rPr>
      </w:pPr>
      <w:r w:rsidRPr="00A27FA0">
        <w:rPr>
          <w:sz w:val="22"/>
          <w:szCs w:val="20"/>
          <w:lang w:val="lv-LV"/>
        </w:rPr>
        <w:t xml:space="preserve">Tiks īstenots apstiprinātais pētniecības projekts, par kuru saņemts </w:t>
      </w:r>
      <w:r w:rsidR="004A3969" w:rsidRPr="00A27FA0">
        <w:rPr>
          <w:sz w:val="22"/>
          <w:szCs w:val="20"/>
          <w:lang w:val="lv-LV"/>
        </w:rPr>
        <w:t>CFLA</w:t>
      </w:r>
      <w:r w:rsidRPr="00A27FA0">
        <w:rPr>
          <w:sz w:val="22"/>
          <w:szCs w:val="20"/>
          <w:lang w:val="lv-LV"/>
        </w:rPr>
        <w:t xml:space="preserve"> lēmums par valsts atbalsta piešķiršanu.</w:t>
      </w:r>
    </w:p>
    <w:p w14:paraId="1483E051" w14:textId="14ED31E2" w:rsidR="00776B0E" w:rsidRPr="00A27FA0" w:rsidRDefault="00776B0E" w:rsidP="00776B0E">
      <w:pPr>
        <w:pStyle w:val="ListParagraph"/>
        <w:numPr>
          <w:ilvl w:val="0"/>
          <w:numId w:val="11"/>
        </w:numPr>
        <w:spacing w:after="120"/>
        <w:jc w:val="both"/>
        <w:rPr>
          <w:sz w:val="22"/>
          <w:szCs w:val="22"/>
          <w:lang w:val="lv-LV"/>
        </w:rPr>
      </w:pPr>
      <w:r w:rsidRPr="00A27FA0">
        <w:rPr>
          <w:sz w:val="22"/>
          <w:szCs w:val="20"/>
          <w:lang w:val="lv-LV"/>
        </w:rPr>
        <w:t xml:space="preserve">Kompetences centra </w:t>
      </w:r>
      <w:r w:rsidR="00C936FF" w:rsidRPr="00A27FA0">
        <w:rPr>
          <w:lang w:val="lv-LV"/>
        </w:rPr>
        <w:t>PPVK</w:t>
      </w:r>
      <w:r w:rsidR="00C936FF" w:rsidRPr="00A27FA0">
        <w:rPr>
          <w:sz w:val="22"/>
          <w:szCs w:val="20"/>
          <w:lang w:val="lv-LV"/>
        </w:rPr>
        <w:t xml:space="preserve"> </w:t>
      </w:r>
      <w:r w:rsidRPr="00A27FA0">
        <w:rPr>
          <w:sz w:val="22"/>
          <w:szCs w:val="20"/>
          <w:lang w:val="lv-LV"/>
        </w:rPr>
        <w:t xml:space="preserve">lēmums par pētījuma pieteikuma virzību uz </w:t>
      </w:r>
      <w:r w:rsidR="004A3969" w:rsidRPr="00A27FA0">
        <w:rPr>
          <w:sz w:val="22"/>
          <w:szCs w:val="20"/>
          <w:lang w:val="lv-LV"/>
        </w:rPr>
        <w:t>CFLA</w:t>
      </w:r>
      <w:r w:rsidRPr="00A27FA0">
        <w:rPr>
          <w:sz w:val="22"/>
          <w:szCs w:val="20"/>
          <w:lang w:val="lv-LV"/>
        </w:rPr>
        <w:t xml:space="preserve"> stājas spēkā tā pieņemšanas brīdī.</w:t>
      </w:r>
    </w:p>
    <w:p w14:paraId="2241303C" w14:textId="03BE1947" w:rsidR="00776B0E" w:rsidRPr="00A27FA0" w:rsidRDefault="00776B0E" w:rsidP="00776B0E">
      <w:pPr>
        <w:pStyle w:val="ListParagraph"/>
        <w:numPr>
          <w:ilvl w:val="0"/>
          <w:numId w:val="11"/>
        </w:numPr>
        <w:spacing w:after="120"/>
        <w:jc w:val="both"/>
        <w:rPr>
          <w:sz w:val="22"/>
          <w:szCs w:val="22"/>
          <w:lang w:val="lv-LV"/>
        </w:rPr>
      </w:pPr>
      <w:r w:rsidRPr="00A27FA0">
        <w:rPr>
          <w:sz w:val="22"/>
          <w:szCs w:val="20"/>
          <w:lang w:val="lv-LV"/>
        </w:rPr>
        <w:t xml:space="preserve">Kompetences centra </w:t>
      </w:r>
      <w:r w:rsidR="00C936FF" w:rsidRPr="00A27FA0">
        <w:rPr>
          <w:lang w:val="lv-LV"/>
        </w:rPr>
        <w:t>PPVK</w:t>
      </w:r>
      <w:r w:rsidR="00C936FF" w:rsidRPr="00A27FA0">
        <w:rPr>
          <w:sz w:val="22"/>
          <w:szCs w:val="20"/>
          <w:lang w:val="lv-LV"/>
        </w:rPr>
        <w:t xml:space="preserve"> </w:t>
      </w:r>
      <w:r w:rsidRPr="00A27FA0">
        <w:rPr>
          <w:sz w:val="22"/>
          <w:szCs w:val="20"/>
          <w:lang w:val="lv-LV"/>
        </w:rPr>
        <w:t>izvērtē sadarbības partneru atbilstību valsts atbalsta nosacījumiem, lai pētījuma projekta ieviešanas stadijā samazinātu neatbilstošu izdevumu iestāšanās risku un efektivizētu pētījumu projektu izvērtēšanas procesu.</w:t>
      </w:r>
    </w:p>
    <w:p w14:paraId="39E4391A" w14:textId="16B51ECD" w:rsidR="00776B0E" w:rsidRPr="00A27FA0" w:rsidRDefault="00776B0E" w:rsidP="00776B0E">
      <w:pPr>
        <w:pStyle w:val="ListParagraph"/>
        <w:numPr>
          <w:ilvl w:val="0"/>
          <w:numId w:val="11"/>
        </w:numPr>
        <w:spacing w:after="120"/>
        <w:jc w:val="both"/>
        <w:rPr>
          <w:sz w:val="22"/>
          <w:szCs w:val="22"/>
          <w:lang w:val="lv-LV"/>
        </w:rPr>
      </w:pPr>
      <w:r w:rsidRPr="00A27FA0">
        <w:rPr>
          <w:sz w:val="22"/>
          <w:szCs w:val="20"/>
          <w:lang w:val="lv-LV"/>
        </w:rPr>
        <w:t xml:space="preserve">Kompetences centra </w:t>
      </w:r>
      <w:r w:rsidR="00C936FF" w:rsidRPr="00A27FA0">
        <w:rPr>
          <w:lang w:val="lv-LV"/>
        </w:rPr>
        <w:t>PPVK</w:t>
      </w:r>
      <w:r w:rsidR="00C936FF" w:rsidRPr="00A27FA0">
        <w:rPr>
          <w:sz w:val="22"/>
          <w:szCs w:val="20"/>
          <w:lang w:val="lv-LV"/>
        </w:rPr>
        <w:t xml:space="preserve"> </w:t>
      </w:r>
      <w:r w:rsidRPr="00A27FA0">
        <w:rPr>
          <w:sz w:val="22"/>
          <w:szCs w:val="20"/>
          <w:lang w:val="lv-LV"/>
        </w:rPr>
        <w:t xml:space="preserve">pozitīvo lēmumu par pētījuma pieteikuma virzību un tā pielikumus (iesniegtā pētījuma pieteikumu veidlapa, izmaksu tāme, mazo un vidēju uzņēmumu deklarācija) nosūta apstiprināšanai </w:t>
      </w:r>
      <w:r w:rsidR="004A3969" w:rsidRPr="00A27FA0">
        <w:rPr>
          <w:sz w:val="22"/>
          <w:szCs w:val="20"/>
          <w:lang w:val="lv-LV"/>
        </w:rPr>
        <w:t>CFLA</w:t>
      </w:r>
      <w:r w:rsidRPr="00A27FA0">
        <w:rPr>
          <w:sz w:val="22"/>
          <w:szCs w:val="20"/>
          <w:lang w:val="lv-LV"/>
        </w:rPr>
        <w:t xml:space="preserve">. </w:t>
      </w:r>
      <w:r w:rsidR="004A3969" w:rsidRPr="00A27FA0">
        <w:rPr>
          <w:sz w:val="22"/>
          <w:szCs w:val="20"/>
          <w:lang w:val="lv-LV"/>
        </w:rPr>
        <w:t>CFLA</w:t>
      </w:r>
      <w:r w:rsidRPr="00A27FA0">
        <w:rPr>
          <w:sz w:val="22"/>
          <w:szCs w:val="20"/>
          <w:lang w:val="lv-LV"/>
        </w:rPr>
        <w:t xml:space="preserve"> pieņem lēmumu par kompetences centra </w:t>
      </w:r>
      <w:r w:rsidR="00C936FF" w:rsidRPr="00A27FA0">
        <w:rPr>
          <w:lang w:val="lv-LV"/>
        </w:rPr>
        <w:t>PPVK</w:t>
      </w:r>
      <w:r w:rsidR="00C936FF" w:rsidRPr="00A27FA0">
        <w:rPr>
          <w:sz w:val="22"/>
          <w:szCs w:val="20"/>
          <w:lang w:val="lv-LV"/>
        </w:rPr>
        <w:t xml:space="preserve"> </w:t>
      </w:r>
      <w:r w:rsidRPr="00A27FA0">
        <w:rPr>
          <w:sz w:val="22"/>
          <w:szCs w:val="20"/>
          <w:lang w:val="lv-LV"/>
        </w:rPr>
        <w:t>apstiprināto pētījumu pieteikumu projektu.</w:t>
      </w:r>
    </w:p>
    <w:p w14:paraId="036F62FB" w14:textId="11C548A0" w:rsidR="00776B0E" w:rsidRPr="00A27FA0" w:rsidRDefault="00776B0E" w:rsidP="00776B0E">
      <w:pPr>
        <w:pStyle w:val="ListParagraph"/>
        <w:numPr>
          <w:ilvl w:val="0"/>
          <w:numId w:val="11"/>
        </w:numPr>
        <w:spacing w:after="120"/>
        <w:jc w:val="both"/>
        <w:rPr>
          <w:sz w:val="22"/>
          <w:szCs w:val="22"/>
          <w:lang w:val="lv-LV"/>
        </w:rPr>
      </w:pPr>
      <w:r w:rsidRPr="00A27FA0">
        <w:rPr>
          <w:sz w:val="22"/>
          <w:szCs w:val="20"/>
          <w:lang w:val="lv-LV"/>
        </w:rPr>
        <w:t xml:space="preserve">Projekta iesniegumā ir apliecināts, ka kompetences centrs, individuālā pētījuma īstenotājs, sadarbības pētījuma īstenotāji projektā paredzētās pētniecības un attīstības darbības nav uzsākuši pirms projekta iesniegšanas </w:t>
      </w:r>
      <w:r w:rsidR="004A3969" w:rsidRPr="00A27FA0">
        <w:rPr>
          <w:sz w:val="22"/>
          <w:szCs w:val="20"/>
          <w:lang w:val="lv-LV"/>
        </w:rPr>
        <w:t>CFLA</w:t>
      </w:r>
      <w:r w:rsidRPr="00A27FA0">
        <w:rPr>
          <w:sz w:val="22"/>
          <w:szCs w:val="20"/>
          <w:lang w:val="lv-LV"/>
        </w:rPr>
        <w:t xml:space="preserve">. </w:t>
      </w:r>
    </w:p>
    <w:p w14:paraId="7EE2D4EA" w14:textId="519F9DE9" w:rsidR="003A7A4E" w:rsidRPr="00A27FA0" w:rsidRDefault="003A7A4E" w:rsidP="003A7A4E">
      <w:pPr>
        <w:rPr>
          <w:rFonts w:ascii="Times New Roman" w:hAnsi="Times New Roman" w:cs="Times New Roman"/>
        </w:rPr>
      </w:pPr>
      <w:r w:rsidRPr="00A27FA0">
        <w:rPr>
          <w:rFonts w:ascii="Times New Roman" w:hAnsi="Times New Roman" w:cs="Times New Roman"/>
        </w:rPr>
        <w:t xml:space="preserve">Kompetences centrs, pēc </w:t>
      </w:r>
      <w:r w:rsidR="00C936FF" w:rsidRPr="00A27FA0">
        <w:rPr>
          <w:rFonts w:ascii="Times New Roman" w:hAnsi="Times New Roman" w:cs="Times New Roman"/>
        </w:rPr>
        <w:t xml:space="preserve">PPVK </w:t>
      </w:r>
      <w:r w:rsidRPr="00A27FA0">
        <w:rPr>
          <w:rFonts w:ascii="Times New Roman" w:hAnsi="Times New Roman" w:cs="Times New Roman"/>
        </w:rPr>
        <w:t>sēdē izvērtētajiem pētniecības projektiem, lemj par to pētniecības projektu virzīšanu uz CFLA, kuri:</w:t>
      </w:r>
    </w:p>
    <w:p w14:paraId="5F0F1A3B" w14:textId="77777777" w:rsidR="003A7A4E" w:rsidRPr="00A27FA0" w:rsidRDefault="003A7A4E" w:rsidP="003A7A4E">
      <w:pPr>
        <w:pStyle w:val="ListParagraph"/>
        <w:numPr>
          <w:ilvl w:val="0"/>
          <w:numId w:val="37"/>
        </w:numPr>
        <w:rPr>
          <w:sz w:val="22"/>
          <w:szCs w:val="22"/>
          <w:lang w:val="lv-LV"/>
        </w:rPr>
      </w:pPr>
      <w:r w:rsidRPr="00A27FA0">
        <w:rPr>
          <w:sz w:val="22"/>
          <w:szCs w:val="22"/>
          <w:lang w:val="lv-LV"/>
        </w:rPr>
        <w:t>katrā no sekojošiem vērtēšanas kritērijiem ir saņēmuši vidējo vērtējumu 2 vai vairāk:</w:t>
      </w:r>
    </w:p>
    <w:p w14:paraId="616E21C6"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Pētījuma kvalitātes vērtējums;</w:t>
      </w:r>
    </w:p>
    <w:p w14:paraId="591288B0"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Pētījuma ietekmes vērtējums;</w:t>
      </w:r>
    </w:p>
    <w:p w14:paraId="3712A706"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Pētījuma izpildes vērtējums.</w:t>
      </w:r>
    </w:p>
    <w:p w14:paraId="619E57E9" w14:textId="378FAB66" w:rsidR="003A7A4E" w:rsidRPr="00A27FA0" w:rsidRDefault="003A7A4E" w:rsidP="003A7A4E">
      <w:pPr>
        <w:pStyle w:val="ListParagraph"/>
        <w:numPr>
          <w:ilvl w:val="0"/>
          <w:numId w:val="37"/>
        </w:numPr>
        <w:rPr>
          <w:sz w:val="22"/>
          <w:szCs w:val="22"/>
          <w:lang w:val="lv-LV"/>
        </w:rPr>
      </w:pPr>
      <w:r w:rsidRPr="00A27FA0">
        <w:rPr>
          <w:sz w:val="22"/>
          <w:szCs w:val="22"/>
          <w:lang w:val="lv-LV"/>
        </w:rPr>
        <w:t xml:space="preserve">Katrā no izslēdzošajiem vērtēšanas kritērijiem vairākums no </w:t>
      </w:r>
      <w:r w:rsidR="00042F50" w:rsidRPr="00A27FA0">
        <w:rPr>
          <w:sz w:val="22"/>
          <w:szCs w:val="22"/>
          <w:lang w:val="lv-LV"/>
        </w:rPr>
        <w:t xml:space="preserve">PPVK </w:t>
      </w:r>
      <w:r w:rsidRPr="00A27FA0">
        <w:rPr>
          <w:sz w:val="22"/>
          <w:szCs w:val="22"/>
          <w:lang w:val="lv-LV"/>
        </w:rPr>
        <w:t>locekļiem ir balsojis apstiprinoši (piešķīruši 1 punktu):</w:t>
      </w:r>
    </w:p>
    <w:p w14:paraId="129F7178"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 xml:space="preserve"> par pētniecības projekta atbilstību viedās specializācijas jomām vai uzņēmējdarbības atklājuma procesā noteiktajai specializācijas jomai vai apakšjomai;</w:t>
      </w:r>
    </w:p>
    <w:p w14:paraId="6803F7C6" w14:textId="5DE1ACDE" w:rsidR="00D6777B" w:rsidRPr="00A27FA0" w:rsidRDefault="00D6777B" w:rsidP="00D6777B">
      <w:pPr>
        <w:pStyle w:val="ListParagraph"/>
        <w:numPr>
          <w:ilvl w:val="1"/>
          <w:numId w:val="37"/>
        </w:numPr>
        <w:jc w:val="both"/>
        <w:rPr>
          <w:sz w:val="22"/>
          <w:szCs w:val="28"/>
          <w:lang w:val="lv-LV"/>
        </w:rPr>
      </w:pPr>
      <w:r w:rsidRPr="00A27FA0">
        <w:rPr>
          <w:sz w:val="22"/>
          <w:szCs w:val="28"/>
          <w:lang w:val="lv-LV"/>
        </w:rPr>
        <w:t>pētniecības projektiem ar eko-inovatīvu tehnoloģiju attīstību un ieviešanu horizontālā principa "Ilgtspējīga attīstība" nodrošināšanai;</w:t>
      </w:r>
    </w:p>
    <w:p w14:paraId="09D0CAAF"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 xml:space="preserve">par pētniecības projekta atbilstību 4.‒8. tehnoloģiskās gatavības līmenim, </w:t>
      </w:r>
    </w:p>
    <w:p w14:paraId="29FC56FE"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 xml:space="preserve">Projekta atbilstība KC pētniecības virzienam; </w:t>
      </w:r>
    </w:p>
    <w:p w14:paraId="50A229AF" w14:textId="77777777" w:rsidR="003A7A4E" w:rsidRPr="00A27FA0" w:rsidRDefault="003A7A4E" w:rsidP="003A7A4E">
      <w:pPr>
        <w:pStyle w:val="ListParagraph"/>
        <w:numPr>
          <w:ilvl w:val="1"/>
          <w:numId w:val="37"/>
        </w:numPr>
        <w:rPr>
          <w:sz w:val="22"/>
          <w:szCs w:val="22"/>
          <w:lang w:val="lv-LV"/>
        </w:rPr>
      </w:pPr>
      <w:r w:rsidRPr="00A27FA0">
        <w:rPr>
          <w:sz w:val="22"/>
          <w:szCs w:val="22"/>
          <w:lang w:val="lv-LV"/>
        </w:rPr>
        <w:t>Principa "nenodarīt būtisku kaitējumu" ievērošana.</w:t>
      </w:r>
    </w:p>
    <w:p w14:paraId="78260F7D" w14:textId="77777777" w:rsidR="003A7A4E" w:rsidRPr="00A27FA0" w:rsidRDefault="003A7A4E" w:rsidP="003A7A4E">
      <w:pPr>
        <w:rPr>
          <w:rFonts w:ascii="Times New Roman" w:hAnsi="Times New Roman" w:cs="Times New Roman"/>
        </w:rPr>
      </w:pPr>
      <w:r w:rsidRPr="00A27FA0">
        <w:rPr>
          <w:rFonts w:ascii="Times New Roman" w:hAnsi="Times New Roman" w:cs="Times New Roman"/>
        </w:rPr>
        <w:t xml:space="preserve">Projektus ar augstāko kopējo punktu skaitu virza iesniegšanai CFLA līdz finansējuma pietiekamībai. </w:t>
      </w:r>
    </w:p>
    <w:p w14:paraId="672D2458" w14:textId="3B01A916" w:rsidR="003A7A4E" w:rsidRPr="00A27FA0" w:rsidRDefault="003A7A4E" w:rsidP="003A7A4E">
      <w:pPr>
        <w:rPr>
          <w:rFonts w:ascii="Times New Roman" w:hAnsi="Times New Roman" w:cs="Times New Roman"/>
        </w:rPr>
      </w:pPr>
      <w:r w:rsidRPr="00A27FA0">
        <w:rPr>
          <w:rFonts w:ascii="Times New Roman" w:hAnsi="Times New Roman" w:cs="Times New Roman"/>
        </w:rPr>
        <w:t xml:space="preserve">Ja projektu pieteicējam tiek konstatēts VID nodokļu parāds, kas pārsniedz 150 EUR uz projekta izskatīšanas brīdi </w:t>
      </w:r>
      <w:r w:rsidR="00042F50" w:rsidRPr="00A27FA0">
        <w:rPr>
          <w:rFonts w:ascii="Times New Roman" w:hAnsi="Times New Roman" w:cs="Times New Roman"/>
        </w:rPr>
        <w:t>PPVK</w:t>
      </w:r>
      <w:r w:rsidRPr="00A27FA0">
        <w:rPr>
          <w:rFonts w:ascii="Times New Roman" w:hAnsi="Times New Roman" w:cs="Times New Roman"/>
        </w:rPr>
        <w:t>, bet vērtēšanas kritērijos projekts ir saņēmis pietiekamu punktu skaitu, tā apstiprināšanai, tad projekts tiek apstiprināts ar nosacījumu, par nodokļu nomaksu līdz apstiprināto projektu saraksta iesniegšanai CFLA.</w:t>
      </w:r>
    </w:p>
    <w:p w14:paraId="49D84093" w14:textId="77777777" w:rsidR="003A7A4E" w:rsidRPr="00A27FA0" w:rsidRDefault="003A7A4E" w:rsidP="003A7A4E">
      <w:pPr>
        <w:rPr>
          <w:rFonts w:ascii="Times New Roman" w:hAnsi="Times New Roman" w:cs="Times New Roman"/>
        </w:rPr>
      </w:pPr>
      <w:r w:rsidRPr="00A27FA0">
        <w:rPr>
          <w:rFonts w:ascii="Times New Roman" w:hAnsi="Times New Roman" w:cs="Times New Roman"/>
        </w:rPr>
        <w:t>Ja uz apstiprināto projekta saraksta iesniegšanas brīdi CFLA, projekta iesniedzējam joprojām ir VID nodokļu parāds, kas pārsniedz 150 EUR, tad tiek virzīts nākamais augstākā vērtējuma ieguvušais pētījums, ja šim īstenotājam nav reģistrēti nodokļu parādi uz to brīdi.</w:t>
      </w:r>
    </w:p>
    <w:p w14:paraId="54F5237A" w14:textId="083223DE" w:rsidR="003235B5" w:rsidRPr="00A27FA0" w:rsidRDefault="003A7A4E" w:rsidP="004E718C">
      <w:pPr>
        <w:spacing w:after="120"/>
        <w:jc w:val="both"/>
        <w:rPr>
          <w:rFonts w:ascii="Times New Roman" w:hAnsi="Times New Roman" w:cs="Times New Roman"/>
        </w:rPr>
      </w:pPr>
      <w:r w:rsidRPr="00A27FA0">
        <w:rPr>
          <w:rFonts w:ascii="Times New Roman" w:hAnsi="Times New Roman" w:cs="Times New Roman"/>
        </w:rPr>
        <w:t>CFLA pieņem lēmumu par sarakstā iekļauto pētniecības apstiprināšanu un atbalsta piešķiršanu konkrētiem pētniecības projektiem.</w:t>
      </w:r>
    </w:p>
    <w:sectPr w:rsidR="003235B5" w:rsidRPr="00A27FA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B65"/>
    <w:multiLevelType w:val="hybridMultilevel"/>
    <w:tmpl w:val="0F8A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1">
    <w:nsid w:val="05250AE4"/>
    <w:multiLevelType w:val="hybridMultilevel"/>
    <w:tmpl w:val="8A660FEC"/>
    <w:lvl w:ilvl="0" w:tplc="A6F49256">
      <w:start w:val="1"/>
      <w:numFmt w:val="lowerLetter"/>
      <w:lvlText w:val="%1)"/>
      <w:lvlJc w:val="left"/>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B46C2"/>
    <w:multiLevelType w:val="hybridMultilevel"/>
    <w:tmpl w:val="99503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65332D"/>
    <w:multiLevelType w:val="hybridMultilevel"/>
    <w:tmpl w:val="24705F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580788"/>
    <w:multiLevelType w:val="hybridMultilevel"/>
    <w:tmpl w:val="2AEE6E94"/>
    <w:lvl w:ilvl="0" w:tplc="15A60A82">
      <w:start w:val="1"/>
      <w:numFmt w:val="decimal"/>
      <w:lvlText w:val="%1."/>
      <w:lvlJc w:val="left"/>
      <w:pPr>
        <w:ind w:left="-491" w:hanging="360"/>
      </w:pPr>
      <w:rPr>
        <w:rFonts w:hint="default"/>
      </w:rPr>
    </w:lvl>
    <w:lvl w:ilvl="1" w:tplc="04260019">
      <w:start w:val="1"/>
      <w:numFmt w:val="lowerLetter"/>
      <w:lvlText w:val="%2."/>
      <w:lvlJc w:val="left"/>
      <w:pPr>
        <w:ind w:left="229" w:hanging="360"/>
      </w:pPr>
    </w:lvl>
    <w:lvl w:ilvl="2" w:tplc="0426001B">
      <w:start w:val="1"/>
      <w:numFmt w:val="lowerRoman"/>
      <w:lvlText w:val="%3."/>
      <w:lvlJc w:val="right"/>
      <w:pPr>
        <w:ind w:left="949" w:hanging="180"/>
      </w:pPr>
    </w:lvl>
    <w:lvl w:ilvl="3" w:tplc="0426000F">
      <w:start w:val="1"/>
      <w:numFmt w:val="decimal"/>
      <w:lvlText w:val="%4."/>
      <w:lvlJc w:val="left"/>
      <w:pPr>
        <w:ind w:left="1669" w:hanging="360"/>
      </w:pPr>
    </w:lvl>
    <w:lvl w:ilvl="4" w:tplc="04260019">
      <w:start w:val="1"/>
      <w:numFmt w:val="lowerLetter"/>
      <w:lvlText w:val="%5."/>
      <w:lvlJc w:val="left"/>
      <w:pPr>
        <w:ind w:left="2389" w:hanging="360"/>
      </w:pPr>
    </w:lvl>
    <w:lvl w:ilvl="5" w:tplc="0426001B" w:tentative="1">
      <w:start w:val="1"/>
      <w:numFmt w:val="lowerRoman"/>
      <w:lvlText w:val="%6."/>
      <w:lvlJc w:val="right"/>
      <w:pPr>
        <w:ind w:left="3109" w:hanging="180"/>
      </w:pPr>
    </w:lvl>
    <w:lvl w:ilvl="6" w:tplc="0426000F" w:tentative="1">
      <w:start w:val="1"/>
      <w:numFmt w:val="decimal"/>
      <w:lvlText w:val="%7."/>
      <w:lvlJc w:val="left"/>
      <w:pPr>
        <w:ind w:left="3829" w:hanging="360"/>
      </w:pPr>
    </w:lvl>
    <w:lvl w:ilvl="7" w:tplc="04260019" w:tentative="1">
      <w:start w:val="1"/>
      <w:numFmt w:val="lowerLetter"/>
      <w:lvlText w:val="%8."/>
      <w:lvlJc w:val="left"/>
      <w:pPr>
        <w:ind w:left="4549" w:hanging="360"/>
      </w:pPr>
    </w:lvl>
    <w:lvl w:ilvl="8" w:tplc="0426001B" w:tentative="1">
      <w:start w:val="1"/>
      <w:numFmt w:val="lowerRoman"/>
      <w:lvlText w:val="%9."/>
      <w:lvlJc w:val="right"/>
      <w:pPr>
        <w:ind w:left="5269" w:hanging="180"/>
      </w:pPr>
    </w:lvl>
  </w:abstractNum>
  <w:abstractNum w:abstractNumId="5" w15:restartNumberingAfterBreak="1">
    <w:nsid w:val="13EC73DE"/>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ED63F6"/>
    <w:multiLevelType w:val="hybridMultilevel"/>
    <w:tmpl w:val="5B1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D795A62"/>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2238BA"/>
    <w:multiLevelType w:val="hybridMultilevel"/>
    <w:tmpl w:val="45A8D0DC"/>
    <w:lvl w:ilvl="0" w:tplc="0426001B">
      <w:start w:val="1"/>
      <w:numFmt w:val="lowerRoman"/>
      <w:lvlText w:val="%1."/>
      <w:lvlJc w:val="right"/>
      <w:pPr>
        <w:ind w:left="1129" w:hanging="360"/>
      </w:p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9" w15:restartNumberingAfterBreak="0">
    <w:nsid w:val="275525DF"/>
    <w:multiLevelType w:val="hybridMultilevel"/>
    <w:tmpl w:val="4802C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973F64"/>
    <w:multiLevelType w:val="multilevel"/>
    <w:tmpl w:val="38F8D7B8"/>
    <w:lvl w:ilvl="0">
      <w:start w:val="1"/>
      <w:numFmt w:val="upperRoman"/>
      <w:lvlText w:val="%1."/>
      <w:lvlJc w:val="right"/>
      <w:pPr>
        <w:ind w:left="720" w:hanging="360"/>
      </w:pPr>
      <w:rPr>
        <w:rFonts w:ascii="Times New Roman" w:hAnsi="Times New Roman"/>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123A74"/>
    <w:multiLevelType w:val="hybridMultilevel"/>
    <w:tmpl w:val="4E8EF082"/>
    <w:lvl w:ilvl="0" w:tplc="63285E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A432F5"/>
    <w:multiLevelType w:val="hybridMultilevel"/>
    <w:tmpl w:val="E8689E52"/>
    <w:lvl w:ilvl="0" w:tplc="2A205264">
      <w:numFmt w:val="bullet"/>
      <w:lvlText w:val=""/>
      <w:lvlJc w:val="left"/>
      <w:pPr>
        <w:ind w:left="720" w:hanging="360"/>
      </w:pPr>
      <w:rPr>
        <w:rFonts w:ascii="Symbol" w:eastAsiaTheme="minorEastAsia" w:hAnsi="Symbol"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7130BD9"/>
    <w:multiLevelType w:val="hybridMultilevel"/>
    <w:tmpl w:val="483EF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1">
    <w:nsid w:val="3C082FA4"/>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C3090F"/>
    <w:multiLevelType w:val="multilevel"/>
    <w:tmpl w:val="EA94B6F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80A5C"/>
    <w:multiLevelType w:val="hybridMultilevel"/>
    <w:tmpl w:val="5E38D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5D2FA4"/>
    <w:multiLevelType w:val="hybridMultilevel"/>
    <w:tmpl w:val="DCE0148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6BB45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A171751"/>
    <w:multiLevelType w:val="multilevel"/>
    <w:tmpl w:val="5B30B6DE"/>
    <w:lvl w:ilvl="0">
      <w:start w:val="1"/>
      <w:numFmt w:val="decimal"/>
      <w:lvlText w:val="%1."/>
      <w:lvlJc w:val="left"/>
      <w:pPr>
        <w:ind w:left="360" w:hanging="360"/>
      </w:pPr>
      <w:rPr>
        <w:rFonts w:hint="default"/>
      </w:rPr>
    </w:lvl>
    <w:lvl w:ilvl="1">
      <w:start w:val="1"/>
      <w:numFmt w:val="decimal"/>
      <w:lvlText w:val="%1.%2."/>
      <w:lvlJc w:val="left"/>
      <w:pPr>
        <w:ind w:left="1331" w:hanging="360"/>
      </w:pPr>
      <w:rPr>
        <w:rFonts w:hint="default"/>
      </w:rPr>
    </w:lvl>
    <w:lvl w:ilvl="2">
      <w:start w:val="1"/>
      <w:numFmt w:val="decimal"/>
      <w:lvlText w:val="%1.%2.%3."/>
      <w:lvlJc w:val="left"/>
      <w:pPr>
        <w:ind w:left="2662" w:hanging="720"/>
      </w:pPr>
      <w:rPr>
        <w:rFonts w:hint="default"/>
      </w:rPr>
    </w:lvl>
    <w:lvl w:ilvl="3">
      <w:start w:val="1"/>
      <w:numFmt w:val="decimal"/>
      <w:lvlText w:val="%1.%2.%3.%4."/>
      <w:lvlJc w:val="left"/>
      <w:pPr>
        <w:ind w:left="3633" w:hanging="720"/>
      </w:pPr>
      <w:rPr>
        <w:rFonts w:hint="default"/>
      </w:rPr>
    </w:lvl>
    <w:lvl w:ilvl="4">
      <w:start w:val="1"/>
      <w:numFmt w:val="decimal"/>
      <w:lvlText w:val="%1.%2.%3.%4.%5."/>
      <w:lvlJc w:val="left"/>
      <w:pPr>
        <w:ind w:left="4964" w:hanging="1080"/>
      </w:pPr>
      <w:rPr>
        <w:rFonts w:hint="default"/>
      </w:rPr>
    </w:lvl>
    <w:lvl w:ilvl="5">
      <w:start w:val="1"/>
      <w:numFmt w:val="decimal"/>
      <w:lvlText w:val="%1.%2.%3.%4.%5.%6."/>
      <w:lvlJc w:val="left"/>
      <w:pPr>
        <w:ind w:left="5935" w:hanging="1080"/>
      </w:pPr>
      <w:rPr>
        <w:rFonts w:hint="default"/>
      </w:rPr>
    </w:lvl>
    <w:lvl w:ilvl="6">
      <w:start w:val="1"/>
      <w:numFmt w:val="decimal"/>
      <w:lvlText w:val="%1.%2.%3.%4.%5.%6.%7."/>
      <w:lvlJc w:val="left"/>
      <w:pPr>
        <w:ind w:left="7266" w:hanging="1440"/>
      </w:pPr>
      <w:rPr>
        <w:rFonts w:hint="default"/>
      </w:rPr>
    </w:lvl>
    <w:lvl w:ilvl="7">
      <w:start w:val="1"/>
      <w:numFmt w:val="decimal"/>
      <w:lvlText w:val="%1.%2.%3.%4.%5.%6.%7.%8."/>
      <w:lvlJc w:val="left"/>
      <w:pPr>
        <w:ind w:left="8237" w:hanging="1440"/>
      </w:pPr>
      <w:rPr>
        <w:rFonts w:hint="default"/>
      </w:rPr>
    </w:lvl>
    <w:lvl w:ilvl="8">
      <w:start w:val="1"/>
      <w:numFmt w:val="decimal"/>
      <w:lvlText w:val="%1.%2.%3.%4.%5.%6.%7.%8.%9."/>
      <w:lvlJc w:val="left"/>
      <w:pPr>
        <w:ind w:left="9568" w:hanging="1800"/>
      </w:pPr>
      <w:rPr>
        <w:rFonts w:hint="default"/>
      </w:rPr>
    </w:lvl>
  </w:abstractNum>
  <w:abstractNum w:abstractNumId="20" w15:restartNumberingAfterBreak="0">
    <w:nsid w:val="50BE5A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40629E2"/>
    <w:multiLevelType w:val="hybridMultilevel"/>
    <w:tmpl w:val="1A68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40C92"/>
    <w:multiLevelType w:val="hybridMultilevel"/>
    <w:tmpl w:val="4AD8AC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3" w15:restartNumberingAfterBreak="1">
    <w:nsid w:val="57E545FA"/>
    <w:multiLevelType w:val="hybridMultilevel"/>
    <w:tmpl w:val="8A660FEC"/>
    <w:lvl w:ilvl="0" w:tplc="A6F49256">
      <w:start w:val="1"/>
      <w:numFmt w:val="lowerLetter"/>
      <w:lvlText w:val="%1)"/>
      <w:lvlJc w:val="left"/>
      <w:rPr>
        <w:rFonts w:cs="Times New Roman"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1">
    <w:nsid w:val="5B5772A6"/>
    <w:multiLevelType w:val="hybridMultilevel"/>
    <w:tmpl w:val="8A660FEC"/>
    <w:lvl w:ilvl="0" w:tplc="A6F49256">
      <w:start w:val="1"/>
      <w:numFmt w:val="lowerLetter"/>
      <w:lvlText w:val="%1)"/>
      <w:lvlJc w:val="left"/>
      <w:rPr>
        <w:rFonts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0F6059C"/>
    <w:multiLevelType w:val="hybridMultilevel"/>
    <w:tmpl w:val="A7EEC4E0"/>
    <w:lvl w:ilvl="0" w:tplc="0426001B">
      <w:start w:val="1"/>
      <w:numFmt w:val="lowerRoman"/>
      <w:lvlText w:val="%1."/>
      <w:lvlJc w:val="right"/>
      <w:pPr>
        <w:ind w:left="1129" w:hanging="360"/>
      </w:p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26" w15:restartNumberingAfterBreak="0">
    <w:nsid w:val="657220D4"/>
    <w:multiLevelType w:val="hybridMultilevel"/>
    <w:tmpl w:val="360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80CA1"/>
    <w:multiLevelType w:val="multilevel"/>
    <w:tmpl w:val="CE7277FA"/>
    <w:lvl w:ilvl="0">
      <w:start w:val="1"/>
      <w:numFmt w:val="decimal"/>
      <w:lvlText w:val="%1."/>
      <w:lvlJc w:val="left"/>
      <w:pPr>
        <w:ind w:left="971" w:hanging="431"/>
      </w:pPr>
      <w:rPr>
        <w:rFonts w:hint="default"/>
        <w:sz w:val="22"/>
      </w:rPr>
    </w:lvl>
    <w:lvl w:ilvl="1">
      <w:start w:val="1"/>
      <w:numFmt w:val="decimal"/>
      <w:pStyle w:val="Heading2"/>
      <w:lvlText w:val="%1.%2."/>
      <w:lvlJc w:val="left"/>
      <w:pPr>
        <w:ind w:left="431" w:hanging="431"/>
      </w:pPr>
      <w:rPr>
        <w:rFonts w:hint="default"/>
      </w:rPr>
    </w:lvl>
    <w:lvl w:ilvl="2">
      <w:start w:val="1"/>
      <w:numFmt w:val="decimal"/>
      <w:lvlText w:val="%1.%2.%3."/>
      <w:lvlJc w:val="left"/>
      <w:pPr>
        <w:ind w:left="431" w:hanging="431"/>
      </w:pPr>
      <w:rPr>
        <w:rFonts w:hint="default"/>
      </w:rPr>
    </w:lvl>
    <w:lvl w:ilvl="3">
      <w:start w:val="1"/>
      <w:numFmt w:val="decimal"/>
      <w:lvlText w:val="%1.%2.%3.%4."/>
      <w:lvlJc w:val="left"/>
      <w:pPr>
        <w:ind w:left="1112" w:hanging="431"/>
      </w:pPr>
      <w:rPr>
        <w:rFonts w:hint="default"/>
      </w:rPr>
    </w:lvl>
    <w:lvl w:ilvl="4">
      <w:start w:val="1"/>
      <w:numFmt w:val="decimal"/>
      <w:lvlText w:val="%1.%2.%3.%4.%5."/>
      <w:lvlJc w:val="left"/>
      <w:pPr>
        <w:ind w:left="1339" w:hanging="431"/>
      </w:pPr>
      <w:rPr>
        <w:rFonts w:hint="default"/>
      </w:rPr>
    </w:lvl>
    <w:lvl w:ilvl="5">
      <w:start w:val="1"/>
      <w:numFmt w:val="decimal"/>
      <w:pStyle w:val="Heading6"/>
      <w:lvlText w:val="%1.%2.%3.%4.%5.%6"/>
      <w:lvlJc w:val="left"/>
      <w:pPr>
        <w:ind w:left="1566" w:hanging="431"/>
      </w:pPr>
      <w:rPr>
        <w:rFonts w:hint="default"/>
      </w:rPr>
    </w:lvl>
    <w:lvl w:ilvl="6">
      <w:start w:val="1"/>
      <w:numFmt w:val="decimal"/>
      <w:pStyle w:val="Heading7"/>
      <w:lvlText w:val="%1.%2.%3.%4.%5.%6.%7"/>
      <w:lvlJc w:val="left"/>
      <w:pPr>
        <w:ind w:left="1793" w:hanging="431"/>
      </w:pPr>
      <w:rPr>
        <w:rFonts w:hint="default"/>
      </w:rPr>
    </w:lvl>
    <w:lvl w:ilvl="7">
      <w:start w:val="1"/>
      <w:numFmt w:val="decimal"/>
      <w:pStyle w:val="Heading8"/>
      <w:lvlText w:val="%1.%2.%3.%4.%5.%6.%7.%8"/>
      <w:lvlJc w:val="left"/>
      <w:pPr>
        <w:ind w:left="2020" w:hanging="431"/>
      </w:pPr>
      <w:rPr>
        <w:rFonts w:hint="default"/>
      </w:rPr>
    </w:lvl>
    <w:lvl w:ilvl="8">
      <w:start w:val="1"/>
      <w:numFmt w:val="decimal"/>
      <w:pStyle w:val="Heading9"/>
      <w:lvlText w:val="%1.%2.%3.%4.%5.%6.%7.%8.%9"/>
      <w:lvlJc w:val="left"/>
      <w:pPr>
        <w:ind w:left="2247" w:hanging="431"/>
      </w:pPr>
      <w:rPr>
        <w:rFonts w:hint="default"/>
      </w:rPr>
    </w:lvl>
  </w:abstractNum>
  <w:abstractNum w:abstractNumId="28" w15:restartNumberingAfterBreak="0">
    <w:nsid w:val="6FB84054"/>
    <w:multiLevelType w:val="hybridMultilevel"/>
    <w:tmpl w:val="45A8D0DC"/>
    <w:lvl w:ilvl="0" w:tplc="0426001B">
      <w:start w:val="1"/>
      <w:numFmt w:val="lowerRoman"/>
      <w:lvlText w:val="%1."/>
      <w:lvlJc w:val="right"/>
      <w:pPr>
        <w:ind w:left="1129" w:hanging="360"/>
      </w:p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abstractNum w:abstractNumId="29" w15:restartNumberingAfterBreak="0">
    <w:nsid w:val="7E01431C"/>
    <w:multiLevelType w:val="hybridMultilevel"/>
    <w:tmpl w:val="74CC18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3262525">
    <w:abstractNumId w:val="11"/>
  </w:num>
  <w:num w:numId="2" w16cid:durableId="471290627">
    <w:abstractNumId w:val="27"/>
  </w:num>
  <w:num w:numId="3" w16cid:durableId="1539051725">
    <w:abstractNumId w:val="16"/>
  </w:num>
  <w:num w:numId="4" w16cid:durableId="674771962">
    <w:abstractNumId w:val="20"/>
  </w:num>
  <w:num w:numId="5" w16cid:durableId="976379053">
    <w:abstractNumId w:val="28"/>
  </w:num>
  <w:num w:numId="6" w16cid:durableId="1902983049">
    <w:abstractNumId w:val="8"/>
  </w:num>
  <w:num w:numId="7" w16cid:durableId="2115202071">
    <w:abstractNumId w:val="25"/>
  </w:num>
  <w:num w:numId="8" w16cid:durableId="1940944791">
    <w:abstractNumId w:val="15"/>
  </w:num>
  <w:num w:numId="9" w16cid:durableId="1257636467">
    <w:abstractNumId w:val="3"/>
  </w:num>
  <w:num w:numId="10" w16cid:durableId="739716246">
    <w:abstractNumId w:val="9"/>
  </w:num>
  <w:num w:numId="11" w16cid:durableId="1002274635">
    <w:abstractNumId w:val="22"/>
  </w:num>
  <w:num w:numId="12" w16cid:durableId="1215120937">
    <w:abstractNumId w:val="2"/>
  </w:num>
  <w:num w:numId="13" w16cid:durableId="50275436">
    <w:abstractNumId w:val="21"/>
  </w:num>
  <w:num w:numId="14" w16cid:durableId="1611350832">
    <w:abstractNumId w:val="27"/>
  </w:num>
  <w:num w:numId="15" w16cid:durableId="1226331788">
    <w:abstractNumId w:val="4"/>
  </w:num>
  <w:num w:numId="16" w16cid:durableId="508563881">
    <w:abstractNumId w:val="10"/>
  </w:num>
  <w:num w:numId="17" w16cid:durableId="2069457165">
    <w:abstractNumId w:val="24"/>
  </w:num>
  <w:num w:numId="18" w16cid:durableId="931279231">
    <w:abstractNumId w:val="1"/>
  </w:num>
  <w:num w:numId="19" w16cid:durableId="1677421835">
    <w:abstractNumId w:val="7"/>
  </w:num>
  <w:num w:numId="20" w16cid:durableId="2142381607">
    <w:abstractNumId w:val="14"/>
  </w:num>
  <w:num w:numId="21" w16cid:durableId="1446536795">
    <w:abstractNumId w:val="23"/>
  </w:num>
  <w:num w:numId="22" w16cid:durableId="1389380852">
    <w:abstractNumId w:val="5"/>
  </w:num>
  <w:num w:numId="23" w16cid:durableId="350841904">
    <w:abstractNumId w:val="12"/>
  </w:num>
  <w:num w:numId="24" w16cid:durableId="571817414">
    <w:abstractNumId w:val="18"/>
  </w:num>
  <w:num w:numId="25" w16cid:durableId="1289623968">
    <w:abstractNumId w:val="27"/>
  </w:num>
  <w:num w:numId="26" w16cid:durableId="1656572245">
    <w:abstractNumId w:val="27"/>
  </w:num>
  <w:num w:numId="27" w16cid:durableId="999120467">
    <w:abstractNumId w:val="27"/>
  </w:num>
  <w:num w:numId="28" w16cid:durableId="1421561644">
    <w:abstractNumId w:val="27"/>
  </w:num>
  <w:num w:numId="29" w16cid:durableId="670841291">
    <w:abstractNumId w:val="27"/>
  </w:num>
  <w:num w:numId="30" w16cid:durableId="1663046393">
    <w:abstractNumId w:val="27"/>
  </w:num>
  <w:num w:numId="31" w16cid:durableId="1535733879">
    <w:abstractNumId w:val="27"/>
  </w:num>
  <w:num w:numId="32" w16cid:durableId="1980307915">
    <w:abstractNumId w:val="27"/>
  </w:num>
  <w:num w:numId="33" w16cid:durableId="96798403">
    <w:abstractNumId w:val="0"/>
  </w:num>
  <w:num w:numId="34" w16cid:durableId="1285379726">
    <w:abstractNumId w:val="26"/>
  </w:num>
  <w:num w:numId="35" w16cid:durableId="40180920">
    <w:abstractNumId w:val="6"/>
  </w:num>
  <w:num w:numId="36" w16cid:durableId="1532760443">
    <w:abstractNumId w:val="13"/>
  </w:num>
  <w:num w:numId="37" w16cid:durableId="749621671">
    <w:abstractNumId w:val="17"/>
  </w:num>
  <w:num w:numId="38" w16cid:durableId="1908369955">
    <w:abstractNumId w:val="29"/>
  </w:num>
  <w:num w:numId="39" w16cid:durableId="19505046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AB1"/>
    <w:rsid w:val="00012DB2"/>
    <w:rsid w:val="00040CE9"/>
    <w:rsid w:val="00042F50"/>
    <w:rsid w:val="000523A9"/>
    <w:rsid w:val="00063E37"/>
    <w:rsid w:val="00075669"/>
    <w:rsid w:val="000A5825"/>
    <w:rsid w:val="000A582B"/>
    <w:rsid w:val="000B0FBA"/>
    <w:rsid w:val="000C08D6"/>
    <w:rsid w:val="000C3440"/>
    <w:rsid w:val="000D0E3C"/>
    <w:rsid w:val="000E16D3"/>
    <w:rsid w:val="000E6993"/>
    <w:rsid w:val="00115ACC"/>
    <w:rsid w:val="00117023"/>
    <w:rsid w:val="00117DEC"/>
    <w:rsid w:val="001357AA"/>
    <w:rsid w:val="0015341D"/>
    <w:rsid w:val="00156E8D"/>
    <w:rsid w:val="00163B72"/>
    <w:rsid w:val="00163C51"/>
    <w:rsid w:val="00165B88"/>
    <w:rsid w:val="001D307A"/>
    <w:rsid w:val="001D5A62"/>
    <w:rsid w:val="001E577A"/>
    <w:rsid w:val="001F5A70"/>
    <w:rsid w:val="00201C73"/>
    <w:rsid w:val="002104EA"/>
    <w:rsid w:val="00220211"/>
    <w:rsid w:val="0022197B"/>
    <w:rsid w:val="002315A8"/>
    <w:rsid w:val="00251A15"/>
    <w:rsid w:val="00272954"/>
    <w:rsid w:val="0027789D"/>
    <w:rsid w:val="00280E8C"/>
    <w:rsid w:val="00281A79"/>
    <w:rsid w:val="002C0E35"/>
    <w:rsid w:val="002C4ACE"/>
    <w:rsid w:val="002D6182"/>
    <w:rsid w:val="003235B5"/>
    <w:rsid w:val="003670FB"/>
    <w:rsid w:val="003749D5"/>
    <w:rsid w:val="003826D9"/>
    <w:rsid w:val="00384E02"/>
    <w:rsid w:val="003A3E5E"/>
    <w:rsid w:val="003A7A4E"/>
    <w:rsid w:val="003B043F"/>
    <w:rsid w:val="003E2E93"/>
    <w:rsid w:val="00401144"/>
    <w:rsid w:val="00405FA7"/>
    <w:rsid w:val="00411DC0"/>
    <w:rsid w:val="00467436"/>
    <w:rsid w:val="0048787C"/>
    <w:rsid w:val="00492A5B"/>
    <w:rsid w:val="004A3969"/>
    <w:rsid w:val="004C61CE"/>
    <w:rsid w:val="004E718C"/>
    <w:rsid w:val="00510E4F"/>
    <w:rsid w:val="0051322F"/>
    <w:rsid w:val="0051455A"/>
    <w:rsid w:val="005232FC"/>
    <w:rsid w:val="0052651A"/>
    <w:rsid w:val="00532891"/>
    <w:rsid w:val="00536F83"/>
    <w:rsid w:val="00552E18"/>
    <w:rsid w:val="00561098"/>
    <w:rsid w:val="00583B60"/>
    <w:rsid w:val="005B1B63"/>
    <w:rsid w:val="005C12AB"/>
    <w:rsid w:val="005D0176"/>
    <w:rsid w:val="005F2F58"/>
    <w:rsid w:val="00606D4B"/>
    <w:rsid w:val="006219C5"/>
    <w:rsid w:val="00622F00"/>
    <w:rsid w:val="00634630"/>
    <w:rsid w:val="00664A76"/>
    <w:rsid w:val="006752A7"/>
    <w:rsid w:val="0068398D"/>
    <w:rsid w:val="006B3AA0"/>
    <w:rsid w:val="006B4A3B"/>
    <w:rsid w:val="006C2913"/>
    <w:rsid w:val="006D2334"/>
    <w:rsid w:val="006D5541"/>
    <w:rsid w:val="007124CE"/>
    <w:rsid w:val="007169BA"/>
    <w:rsid w:val="00776B0E"/>
    <w:rsid w:val="00785A7A"/>
    <w:rsid w:val="00786CA0"/>
    <w:rsid w:val="007A226B"/>
    <w:rsid w:val="007B59CB"/>
    <w:rsid w:val="007B65E8"/>
    <w:rsid w:val="007C03FC"/>
    <w:rsid w:val="007C4F72"/>
    <w:rsid w:val="007D1943"/>
    <w:rsid w:val="007F31BA"/>
    <w:rsid w:val="00825912"/>
    <w:rsid w:val="00825B7E"/>
    <w:rsid w:val="00855624"/>
    <w:rsid w:val="008629B1"/>
    <w:rsid w:val="008735E7"/>
    <w:rsid w:val="00877DD1"/>
    <w:rsid w:val="00896172"/>
    <w:rsid w:val="008E031C"/>
    <w:rsid w:val="008E5259"/>
    <w:rsid w:val="00936523"/>
    <w:rsid w:val="00941B96"/>
    <w:rsid w:val="00944EFE"/>
    <w:rsid w:val="00982273"/>
    <w:rsid w:val="009B0C29"/>
    <w:rsid w:val="009B4623"/>
    <w:rsid w:val="009E0CD2"/>
    <w:rsid w:val="009F5930"/>
    <w:rsid w:val="009F663F"/>
    <w:rsid w:val="00A06F66"/>
    <w:rsid w:val="00A136A4"/>
    <w:rsid w:val="00A23AB5"/>
    <w:rsid w:val="00A27FA0"/>
    <w:rsid w:val="00A32E03"/>
    <w:rsid w:val="00A5448A"/>
    <w:rsid w:val="00A8295A"/>
    <w:rsid w:val="00AA7120"/>
    <w:rsid w:val="00AD5CF2"/>
    <w:rsid w:val="00B02D07"/>
    <w:rsid w:val="00B20AB1"/>
    <w:rsid w:val="00B515A5"/>
    <w:rsid w:val="00B77D95"/>
    <w:rsid w:val="00B8044E"/>
    <w:rsid w:val="00B81244"/>
    <w:rsid w:val="00B9235B"/>
    <w:rsid w:val="00B97778"/>
    <w:rsid w:val="00BC72DD"/>
    <w:rsid w:val="00BD3186"/>
    <w:rsid w:val="00BE234A"/>
    <w:rsid w:val="00BF37C2"/>
    <w:rsid w:val="00BF6376"/>
    <w:rsid w:val="00C0606B"/>
    <w:rsid w:val="00C40EFB"/>
    <w:rsid w:val="00C67C91"/>
    <w:rsid w:val="00C936FF"/>
    <w:rsid w:val="00CA43DA"/>
    <w:rsid w:val="00D222B1"/>
    <w:rsid w:val="00D343A9"/>
    <w:rsid w:val="00D46733"/>
    <w:rsid w:val="00D55114"/>
    <w:rsid w:val="00D6777B"/>
    <w:rsid w:val="00D74836"/>
    <w:rsid w:val="00D93BA8"/>
    <w:rsid w:val="00DA5A6F"/>
    <w:rsid w:val="00DE5125"/>
    <w:rsid w:val="00E117C0"/>
    <w:rsid w:val="00E25C1D"/>
    <w:rsid w:val="00E37653"/>
    <w:rsid w:val="00E556DA"/>
    <w:rsid w:val="00E7154C"/>
    <w:rsid w:val="00ED55CA"/>
    <w:rsid w:val="00ED5E45"/>
    <w:rsid w:val="00EF1396"/>
    <w:rsid w:val="00F01139"/>
    <w:rsid w:val="00F06A1F"/>
    <w:rsid w:val="00F070FD"/>
    <w:rsid w:val="00F21173"/>
    <w:rsid w:val="00F24935"/>
    <w:rsid w:val="00F2757D"/>
    <w:rsid w:val="00F45439"/>
    <w:rsid w:val="00F832E6"/>
    <w:rsid w:val="00F875BF"/>
    <w:rsid w:val="00F90246"/>
    <w:rsid w:val="00FB49D8"/>
    <w:rsid w:val="00FC5672"/>
    <w:rsid w:val="00FD1642"/>
    <w:rsid w:val="00FF018D"/>
    <w:rsid w:val="00FF1E51"/>
    <w:rsid w:val="0A8A633C"/>
    <w:rsid w:val="14D9B892"/>
    <w:rsid w:val="6139B7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878C1"/>
  <w15:chartTrackingRefBased/>
  <w15:docId w15:val="{709DEC35-6EAD-44D1-BD62-D731422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Heading2"/>
    <w:next w:val="Normal"/>
    <w:link w:val="Heading1Char"/>
    <w:uiPriority w:val="9"/>
    <w:qFormat/>
    <w:rsid w:val="00E556DA"/>
    <w:pPr>
      <w:pageBreakBefore/>
      <w:numPr>
        <w:ilvl w:val="0"/>
        <w:numId w:val="0"/>
      </w:numPr>
      <w:outlineLvl w:val="0"/>
    </w:pPr>
    <w:rPr>
      <w:bCs/>
      <w:color w:val="1F3864" w:themeColor="accent1" w:themeShade="80"/>
      <w:sz w:val="32"/>
    </w:rPr>
  </w:style>
  <w:style w:type="paragraph" w:styleId="Heading2">
    <w:name w:val="heading 2"/>
    <w:basedOn w:val="ListParagraph"/>
    <w:next w:val="Normal"/>
    <w:link w:val="Heading2Char"/>
    <w:uiPriority w:val="9"/>
    <w:unhideWhenUsed/>
    <w:qFormat/>
    <w:rsid w:val="00E556DA"/>
    <w:pPr>
      <w:keepNext/>
      <w:keepLines/>
      <w:numPr>
        <w:ilvl w:val="1"/>
        <w:numId w:val="2"/>
      </w:numPr>
      <w:shd w:val="clear" w:color="FFFFFF" w:themeColor="background1" w:fill="auto"/>
      <w:spacing w:before="480" w:after="120"/>
      <w:jc w:val="both"/>
      <w:outlineLvl w:val="1"/>
    </w:pPr>
    <w:rPr>
      <w:rFonts w:asciiTheme="majorHAnsi" w:eastAsiaTheme="minorEastAsia" w:hAnsiTheme="majorHAnsi" w:cstheme="minorBidi"/>
      <w:b/>
      <w:color w:val="5B9BD5" w:themeColor="accent5"/>
      <w:szCs w:val="20"/>
      <w:shd w:val="clear" w:color="auto" w:fill="FFFFFF"/>
      <w:lang w:val="lv-LV" w:eastAsia="en-US"/>
    </w:rPr>
  </w:style>
  <w:style w:type="paragraph" w:styleId="Heading3">
    <w:name w:val="heading 3"/>
    <w:basedOn w:val="Normal"/>
    <w:next w:val="Normal"/>
    <w:link w:val="Heading3Char"/>
    <w:uiPriority w:val="9"/>
    <w:unhideWhenUsed/>
    <w:qFormat/>
    <w:rsid w:val="00E556DA"/>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76B0E"/>
    <w:pPr>
      <w:keepNext/>
      <w:keepLines/>
      <w:spacing w:before="40" w:after="0"/>
      <w:ind w:left="864" w:hanging="864"/>
      <w:jc w:val="both"/>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776B0E"/>
    <w:pPr>
      <w:keepNext/>
      <w:keepLines/>
      <w:spacing w:before="40" w:after="0"/>
      <w:ind w:left="1008" w:hanging="1008"/>
      <w:jc w:val="both"/>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556DA"/>
    <w:pPr>
      <w:keepNext/>
      <w:keepLines/>
      <w:numPr>
        <w:ilvl w:val="5"/>
        <w:numId w:val="2"/>
      </w:numPr>
      <w:shd w:val="clear" w:color="FFFFFF" w:themeColor="background1" w:fill="auto"/>
      <w:spacing w:before="200" w:after="0" w:line="240" w:lineRule="auto"/>
      <w:jc w:val="both"/>
      <w:outlineLvl w:val="5"/>
    </w:pPr>
    <w:rPr>
      <w:rFonts w:asciiTheme="majorHAnsi" w:eastAsiaTheme="majorEastAsia" w:hAnsiTheme="majorHAnsi" w:cstheme="majorBidi"/>
      <w:i/>
      <w:iCs/>
      <w:color w:val="323E4F" w:themeColor="text2" w:themeShade="BF"/>
      <w:sz w:val="20"/>
      <w:szCs w:val="20"/>
      <w:shd w:val="clear" w:color="auto" w:fill="FFFFFF"/>
    </w:rPr>
  </w:style>
  <w:style w:type="paragraph" w:styleId="Heading7">
    <w:name w:val="heading 7"/>
    <w:basedOn w:val="Normal"/>
    <w:next w:val="Normal"/>
    <w:link w:val="Heading7Char"/>
    <w:uiPriority w:val="9"/>
    <w:semiHidden/>
    <w:unhideWhenUsed/>
    <w:qFormat/>
    <w:rsid w:val="00E556DA"/>
    <w:pPr>
      <w:keepNext/>
      <w:keepLines/>
      <w:numPr>
        <w:ilvl w:val="6"/>
        <w:numId w:val="2"/>
      </w:numPr>
      <w:shd w:val="clear" w:color="FFFFFF" w:themeColor="background1" w:fill="auto"/>
      <w:spacing w:before="200" w:after="0" w:line="240" w:lineRule="auto"/>
      <w:jc w:val="both"/>
      <w:outlineLvl w:val="6"/>
    </w:pPr>
    <w:rPr>
      <w:rFonts w:asciiTheme="majorHAnsi" w:eastAsiaTheme="majorEastAsia" w:hAnsiTheme="majorHAnsi" w:cstheme="majorBidi"/>
      <w:i/>
      <w:iCs/>
      <w:color w:val="404040" w:themeColor="text1" w:themeTint="BF"/>
      <w:sz w:val="20"/>
      <w:szCs w:val="20"/>
      <w:shd w:val="clear" w:color="auto" w:fill="FFFFFF"/>
    </w:rPr>
  </w:style>
  <w:style w:type="paragraph" w:styleId="Heading8">
    <w:name w:val="heading 8"/>
    <w:basedOn w:val="Normal"/>
    <w:next w:val="Normal"/>
    <w:link w:val="Heading8Char"/>
    <w:uiPriority w:val="9"/>
    <w:semiHidden/>
    <w:unhideWhenUsed/>
    <w:qFormat/>
    <w:rsid w:val="00E556DA"/>
    <w:pPr>
      <w:keepNext/>
      <w:keepLines/>
      <w:numPr>
        <w:ilvl w:val="7"/>
        <w:numId w:val="2"/>
      </w:numPr>
      <w:shd w:val="clear" w:color="FFFFFF" w:themeColor="background1" w:fill="auto"/>
      <w:spacing w:before="200" w:after="0" w:line="240" w:lineRule="auto"/>
      <w:jc w:val="both"/>
      <w:outlineLvl w:val="7"/>
    </w:pPr>
    <w:rPr>
      <w:rFonts w:asciiTheme="majorHAnsi" w:eastAsiaTheme="majorEastAsia" w:hAnsiTheme="majorHAnsi" w:cstheme="majorBidi"/>
      <w:color w:val="404040" w:themeColor="text1" w:themeTint="BF"/>
      <w:sz w:val="20"/>
      <w:szCs w:val="20"/>
      <w:shd w:val="clear" w:color="auto" w:fill="FFFFFF"/>
    </w:rPr>
  </w:style>
  <w:style w:type="paragraph" w:styleId="Heading9">
    <w:name w:val="heading 9"/>
    <w:basedOn w:val="Normal"/>
    <w:next w:val="Normal"/>
    <w:link w:val="Heading9Char"/>
    <w:uiPriority w:val="9"/>
    <w:semiHidden/>
    <w:unhideWhenUsed/>
    <w:qFormat/>
    <w:rsid w:val="00E556DA"/>
    <w:pPr>
      <w:keepNext/>
      <w:keepLines/>
      <w:numPr>
        <w:ilvl w:val="8"/>
        <w:numId w:val="2"/>
      </w:numPr>
      <w:shd w:val="clear" w:color="FFFFFF" w:themeColor="background1" w:fill="auto"/>
      <w:spacing w:before="200" w:after="0" w:line="240" w:lineRule="auto"/>
      <w:jc w:val="both"/>
      <w:outlineLvl w:val="8"/>
    </w:pPr>
    <w:rPr>
      <w:rFonts w:asciiTheme="majorHAnsi" w:eastAsiaTheme="majorEastAsia" w:hAnsiTheme="majorHAnsi" w:cstheme="majorBidi"/>
      <w:i/>
      <w:iCs/>
      <w:color w:val="404040" w:themeColor="text1" w:themeTint="BF"/>
      <w:sz w:val="20"/>
      <w:szCs w:val="2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uiPriority w:val="34"/>
    <w:qFormat/>
    <w:rsid w:val="00B20AB1"/>
    <w:pPr>
      <w:spacing w:after="0" w:line="240" w:lineRule="auto"/>
      <w:ind w:left="720"/>
      <w:contextualSpacing/>
    </w:pPr>
    <w:rPr>
      <w:rFonts w:ascii="Times New Roman" w:eastAsia="Times New Roman" w:hAnsi="Times New Roman" w:cs="Times New Roman"/>
      <w:sz w:val="24"/>
      <w:szCs w:val="24"/>
      <w:lang w:val="en-US" w:eastAsia="en-GB"/>
    </w:rPr>
  </w:style>
  <w:style w:type="character" w:customStyle="1" w:styleId="ListParagraphChar">
    <w:name w:val="List Paragraph Char"/>
    <w:aliases w:val="H&amp;P List Paragraph Char,2 Char"/>
    <w:link w:val="ListParagraph"/>
    <w:uiPriority w:val="34"/>
    <w:qFormat/>
    <w:rsid w:val="00B20AB1"/>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556DA"/>
    <w:rPr>
      <w:rFonts w:asciiTheme="majorHAnsi" w:eastAsiaTheme="minorEastAsia" w:hAnsiTheme="majorHAnsi"/>
      <w:b/>
      <w:bCs/>
      <w:color w:val="1F3864" w:themeColor="accent1" w:themeShade="80"/>
      <w:sz w:val="32"/>
      <w:szCs w:val="20"/>
      <w:shd w:val="clear" w:color="FFFFFF" w:themeColor="background1" w:fill="auto"/>
      <w:lang w:val="lv-LV"/>
    </w:rPr>
  </w:style>
  <w:style w:type="character" w:customStyle="1" w:styleId="Heading2Char">
    <w:name w:val="Heading 2 Char"/>
    <w:basedOn w:val="DefaultParagraphFont"/>
    <w:link w:val="Heading2"/>
    <w:uiPriority w:val="9"/>
    <w:rsid w:val="00E556DA"/>
    <w:rPr>
      <w:rFonts w:asciiTheme="majorHAnsi" w:eastAsiaTheme="minorEastAsia" w:hAnsiTheme="majorHAnsi"/>
      <w:b/>
      <w:color w:val="5B9BD5" w:themeColor="accent5"/>
      <w:sz w:val="24"/>
      <w:szCs w:val="20"/>
      <w:shd w:val="clear" w:color="FFFFFF" w:themeColor="background1" w:fill="auto"/>
      <w:lang w:val="lv-LV"/>
    </w:rPr>
  </w:style>
  <w:style w:type="character" w:customStyle="1" w:styleId="Heading3Char">
    <w:name w:val="Heading 3 Char"/>
    <w:basedOn w:val="DefaultParagraphFont"/>
    <w:link w:val="Heading3"/>
    <w:uiPriority w:val="9"/>
    <w:rsid w:val="00E556DA"/>
    <w:rPr>
      <w:rFonts w:asciiTheme="majorHAnsi" w:eastAsiaTheme="majorEastAsia" w:hAnsiTheme="majorHAnsi" w:cstheme="majorBidi"/>
      <w:color w:val="1F3763" w:themeColor="accent1" w:themeShade="7F"/>
      <w:sz w:val="24"/>
      <w:szCs w:val="24"/>
      <w:lang w:val="lv-LV"/>
    </w:rPr>
  </w:style>
  <w:style w:type="character" w:customStyle="1" w:styleId="Heading6Char">
    <w:name w:val="Heading 6 Char"/>
    <w:basedOn w:val="DefaultParagraphFont"/>
    <w:link w:val="Heading6"/>
    <w:uiPriority w:val="9"/>
    <w:rsid w:val="00E556DA"/>
    <w:rPr>
      <w:rFonts w:asciiTheme="majorHAnsi" w:eastAsiaTheme="majorEastAsia" w:hAnsiTheme="majorHAnsi" w:cstheme="majorBidi"/>
      <w:i/>
      <w:iCs/>
      <w:color w:val="323E4F" w:themeColor="text2" w:themeShade="BF"/>
      <w:sz w:val="20"/>
      <w:szCs w:val="20"/>
      <w:shd w:val="clear" w:color="FFFFFF" w:themeColor="background1" w:fill="auto"/>
      <w:lang w:val="lv-LV"/>
    </w:rPr>
  </w:style>
  <w:style w:type="character" w:customStyle="1" w:styleId="Heading7Char">
    <w:name w:val="Heading 7 Char"/>
    <w:basedOn w:val="DefaultParagraphFont"/>
    <w:link w:val="Heading7"/>
    <w:uiPriority w:val="9"/>
    <w:semiHidden/>
    <w:rsid w:val="00E556DA"/>
    <w:rPr>
      <w:rFonts w:asciiTheme="majorHAnsi" w:eastAsiaTheme="majorEastAsia" w:hAnsiTheme="majorHAnsi" w:cstheme="majorBidi"/>
      <w:i/>
      <w:iCs/>
      <w:color w:val="404040" w:themeColor="text1" w:themeTint="BF"/>
      <w:sz w:val="20"/>
      <w:szCs w:val="20"/>
      <w:shd w:val="clear" w:color="FFFFFF" w:themeColor="background1" w:fill="auto"/>
      <w:lang w:val="lv-LV"/>
    </w:rPr>
  </w:style>
  <w:style w:type="character" w:customStyle="1" w:styleId="Heading8Char">
    <w:name w:val="Heading 8 Char"/>
    <w:basedOn w:val="DefaultParagraphFont"/>
    <w:link w:val="Heading8"/>
    <w:uiPriority w:val="9"/>
    <w:semiHidden/>
    <w:rsid w:val="00E556DA"/>
    <w:rPr>
      <w:rFonts w:asciiTheme="majorHAnsi" w:eastAsiaTheme="majorEastAsia" w:hAnsiTheme="majorHAnsi" w:cstheme="majorBidi"/>
      <w:color w:val="404040" w:themeColor="text1" w:themeTint="BF"/>
      <w:sz w:val="20"/>
      <w:szCs w:val="20"/>
      <w:shd w:val="clear" w:color="FFFFFF" w:themeColor="background1" w:fill="auto"/>
      <w:lang w:val="lv-LV"/>
    </w:rPr>
  </w:style>
  <w:style w:type="character" w:customStyle="1" w:styleId="Heading9Char">
    <w:name w:val="Heading 9 Char"/>
    <w:basedOn w:val="DefaultParagraphFont"/>
    <w:link w:val="Heading9"/>
    <w:uiPriority w:val="9"/>
    <w:semiHidden/>
    <w:rsid w:val="00E556DA"/>
    <w:rPr>
      <w:rFonts w:asciiTheme="majorHAnsi" w:eastAsiaTheme="majorEastAsia" w:hAnsiTheme="majorHAnsi" w:cstheme="majorBidi"/>
      <w:i/>
      <w:iCs/>
      <w:color w:val="404040" w:themeColor="text1" w:themeTint="BF"/>
      <w:sz w:val="20"/>
      <w:szCs w:val="20"/>
      <w:shd w:val="clear" w:color="FFFFFF" w:themeColor="background1" w:fill="auto"/>
      <w:lang w:val="lv-LV"/>
    </w:rPr>
  </w:style>
  <w:style w:type="table" w:styleId="GridTable1Light-Accent2">
    <w:name w:val="Grid Table 1 Light Accent 2"/>
    <w:basedOn w:val="TableNormal"/>
    <w:uiPriority w:val="46"/>
    <w:rsid w:val="00E556DA"/>
    <w:pPr>
      <w:spacing w:after="0" w:line="240" w:lineRule="auto"/>
    </w:pPr>
    <w:rPr>
      <w:lang w:val="en-GB"/>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InternetLink">
    <w:name w:val="Internet Link"/>
    <w:uiPriority w:val="99"/>
    <w:unhideWhenUsed/>
    <w:rsid w:val="00583B60"/>
    <w:rPr>
      <w:color w:val="0563C1"/>
      <w:u w:val="single"/>
    </w:rPr>
  </w:style>
  <w:style w:type="paragraph" w:styleId="Subtitle">
    <w:name w:val="Subtitle"/>
    <w:basedOn w:val="Normal"/>
    <w:next w:val="Normal"/>
    <w:link w:val="SubtitleChar"/>
    <w:uiPriority w:val="11"/>
    <w:qFormat/>
    <w:rsid w:val="003B043F"/>
    <w:pPr>
      <w:numPr>
        <w:ilvl w:val="1"/>
      </w:numPr>
      <w:spacing w:after="240" w:line="240" w:lineRule="auto"/>
    </w:pPr>
    <w:rPr>
      <w:rFonts w:ascii="Calibri Light" w:eastAsia="Times New Roman" w:hAnsi="Calibri Light" w:cs="Times New Roman"/>
      <w:color w:val="5B9BD5"/>
      <w:sz w:val="28"/>
      <w:szCs w:val="28"/>
    </w:rPr>
  </w:style>
  <w:style w:type="character" w:customStyle="1" w:styleId="SubtitleChar">
    <w:name w:val="Subtitle Char"/>
    <w:basedOn w:val="DefaultParagraphFont"/>
    <w:link w:val="Subtitle"/>
    <w:uiPriority w:val="11"/>
    <w:rsid w:val="003B043F"/>
    <w:rPr>
      <w:rFonts w:ascii="Calibri Light" w:eastAsia="Times New Roman" w:hAnsi="Calibri Light" w:cs="Times New Roman"/>
      <w:color w:val="5B9BD5"/>
      <w:sz w:val="28"/>
      <w:szCs w:val="28"/>
      <w:lang w:val="lv-LV"/>
    </w:rPr>
  </w:style>
  <w:style w:type="character" w:styleId="Hyperlink">
    <w:name w:val="Hyperlink"/>
    <w:uiPriority w:val="99"/>
    <w:unhideWhenUsed/>
    <w:rsid w:val="003B043F"/>
    <w:rPr>
      <w:color w:val="0563C1"/>
      <w:u w:val="single"/>
    </w:rPr>
  </w:style>
  <w:style w:type="character" w:customStyle="1" w:styleId="Heading4Char">
    <w:name w:val="Heading 4 Char"/>
    <w:basedOn w:val="DefaultParagraphFont"/>
    <w:link w:val="Heading4"/>
    <w:uiPriority w:val="9"/>
    <w:rsid w:val="00776B0E"/>
    <w:rPr>
      <w:rFonts w:asciiTheme="majorHAnsi" w:eastAsiaTheme="majorEastAsia" w:hAnsiTheme="majorHAnsi" w:cstheme="majorBidi"/>
      <w:i/>
      <w:iCs/>
      <w:color w:val="2F5496" w:themeColor="accent1" w:themeShade="BF"/>
      <w:lang w:val="lv-LV"/>
    </w:rPr>
  </w:style>
  <w:style w:type="character" w:customStyle="1" w:styleId="Heading5Char">
    <w:name w:val="Heading 5 Char"/>
    <w:basedOn w:val="DefaultParagraphFont"/>
    <w:link w:val="Heading5"/>
    <w:uiPriority w:val="9"/>
    <w:rsid w:val="00776B0E"/>
    <w:rPr>
      <w:rFonts w:asciiTheme="majorHAnsi" w:eastAsiaTheme="majorEastAsia" w:hAnsiTheme="majorHAnsi" w:cstheme="majorBidi"/>
      <w:color w:val="2F5496" w:themeColor="accent1" w:themeShade="BF"/>
      <w:lang w:val="lv-LV"/>
    </w:rPr>
  </w:style>
  <w:style w:type="table" w:customStyle="1" w:styleId="GridTable1Light-Accent51">
    <w:name w:val="Grid Table 1 Light - Accent 51"/>
    <w:basedOn w:val="TableNormal"/>
    <w:uiPriority w:val="46"/>
    <w:rsid w:val="00776B0E"/>
    <w:pPr>
      <w:spacing w:after="0" w:line="240" w:lineRule="auto"/>
    </w:pPr>
    <w:rPr>
      <w:lang w:val="lv-LV"/>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on">
    <w:name w:val="Revision"/>
    <w:hidden/>
    <w:uiPriority w:val="99"/>
    <w:semiHidden/>
    <w:rsid w:val="0052651A"/>
    <w:pPr>
      <w:spacing w:after="0" w:line="240" w:lineRule="auto"/>
    </w:pPr>
    <w:rPr>
      <w:lang w:val="lv-LV"/>
    </w:rPr>
  </w:style>
  <w:style w:type="table" w:styleId="TableGrid">
    <w:name w:val="Table Grid"/>
    <w:basedOn w:val="TableNormal"/>
    <w:uiPriority w:val="39"/>
    <w:rsid w:val="005D0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6839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5F2F58"/>
    <w:rPr>
      <w:sz w:val="16"/>
      <w:szCs w:val="16"/>
    </w:rPr>
  </w:style>
  <w:style w:type="paragraph" w:styleId="CommentText">
    <w:name w:val="annotation text"/>
    <w:basedOn w:val="Normal"/>
    <w:link w:val="CommentTextChar"/>
    <w:uiPriority w:val="99"/>
    <w:unhideWhenUsed/>
    <w:rsid w:val="005F2F58"/>
    <w:pPr>
      <w:spacing w:line="240" w:lineRule="auto"/>
    </w:pPr>
    <w:rPr>
      <w:sz w:val="20"/>
      <w:szCs w:val="20"/>
    </w:rPr>
  </w:style>
  <w:style w:type="character" w:customStyle="1" w:styleId="CommentTextChar">
    <w:name w:val="Comment Text Char"/>
    <w:basedOn w:val="DefaultParagraphFont"/>
    <w:link w:val="CommentText"/>
    <w:uiPriority w:val="99"/>
    <w:rsid w:val="005F2F58"/>
    <w:rPr>
      <w:sz w:val="20"/>
      <w:szCs w:val="20"/>
      <w:lang w:val="lv-LV"/>
    </w:rPr>
  </w:style>
  <w:style w:type="paragraph" w:styleId="CommentSubject">
    <w:name w:val="annotation subject"/>
    <w:basedOn w:val="CommentText"/>
    <w:next w:val="CommentText"/>
    <w:link w:val="CommentSubjectChar"/>
    <w:uiPriority w:val="99"/>
    <w:semiHidden/>
    <w:unhideWhenUsed/>
    <w:rsid w:val="005F2F58"/>
    <w:rPr>
      <w:b/>
      <w:bCs/>
    </w:rPr>
  </w:style>
  <w:style w:type="character" w:customStyle="1" w:styleId="CommentSubjectChar">
    <w:name w:val="Comment Subject Char"/>
    <w:basedOn w:val="CommentTextChar"/>
    <w:link w:val="CommentSubject"/>
    <w:uiPriority w:val="99"/>
    <w:semiHidden/>
    <w:rsid w:val="005F2F58"/>
    <w:rPr>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4160656">
      <w:bodyDiv w:val="1"/>
      <w:marLeft w:val="0"/>
      <w:marRight w:val="0"/>
      <w:marTop w:val="0"/>
      <w:marBottom w:val="0"/>
      <w:divBdr>
        <w:top w:val="none" w:sz="0" w:space="0" w:color="auto"/>
        <w:left w:val="none" w:sz="0" w:space="0" w:color="auto"/>
        <w:bottom w:val="none" w:sz="0" w:space="0" w:color="auto"/>
        <w:right w:val="none" w:sz="0" w:space="0" w:color="auto"/>
      </w:divBdr>
    </w:div>
    <w:div w:id="1699967610">
      <w:bodyDiv w:val="1"/>
      <w:marLeft w:val="0"/>
      <w:marRight w:val="0"/>
      <w:marTop w:val="0"/>
      <w:marBottom w:val="0"/>
      <w:divBdr>
        <w:top w:val="none" w:sz="0" w:space="0" w:color="auto"/>
        <w:left w:val="none" w:sz="0" w:space="0" w:color="auto"/>
        <w:bottom w:val="none" w:sz="0" w:space="0" w:color="auto"/>
        <w:right w:val="none" w:sz="0" w:space="0" w:color="auto"/>
      </w:divBdr>
    </w:div>
    <w:div w:id="1817255989">
      <w:bodyDiv w:val="1"/>
      <w:marLeft w:val="0"/>
      <w:marRight w:val="0"/>
      <w:marTop w:val="0"/>
      <w:marBottom w:val="0"/>
      <w:divBdr>
        <w:top w:val="none" w:sz="0" w:space="0" w:color="auto"/>
        <w:left w:val="none" w:sz="0" w:space="0" w:color="auto"/>
        <w:bottom w:val="none" w:sz="0" w:space="0" w:color="auto"/>
        <w:right w:val="none" w:sz="0" w:space="0" w:color="auto"/>
      </w:divBdr>
    </w:div>
    <w:div w:id="19877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a5323c-72ac-4ab4-a9cd-9c3fb0b52b19">FT4M3ZN43RRY-356818948-34</_dlc_DocId>
    <_dlc_DocIdUrl xmlns="58a5323c-72ac-4ab4-a9cd-9c3fb0b52b19">
      <Url>https://fidea.sharepoint.com/projects/_layouts/15/DocIdRedir.aspx?ID=FT4M3ZN43RRY-356818948-34</Url>
      <Description>FT4M3ZN43RRY-356818948-34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s" ma:contentTypeID="0x010100D334505049E43F4780A67493A773B7CA" ma:contentTypeVersion="4" ma:contentTypeDescription="Izveidot jaunu dokumentu." ma:contentTypeScope="" ma:versionID="c7f2938a0fc36ef360c34140a25a11f0">
  <xsd:schema xmlns:xsd="http://www.w3.org/2001/XMLSchema" xmlns:xs="http://www.w3.org/2001/XMLSchema" xmlns:p="http://schemas.microsoft.com/office/2006/metadata/properties" xmlns:ns2="58a5323c-72ac-4ab4-a9cd-9c3fb0b52b19" xmlns:ns3="fb89c4fe-b161-444b-8c54-ccaa2d1bbeea" targetNamespace="http://schemas.microsoft.com/office/2006/metadata/properties" ma:root="true" ma:fieldsID="7f5ad97ac06489d80d32756f37a900b2" ns2:_="" ns3:_="">
    <xsd:import namespace="58a5323c-72ac-4ab4-a9cd-9c3fb0b52b19"/>
    <xsd:import namespace="fb89c4fe-b161-444b-8c54-ccaa2d1bb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5323c-72ac-4ab4-a9cd-9c3fb0b52b19"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9c4fe-b161-444b-8c54-ccaa2d1bb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F8A7FA-288E-4EAB-8088-C75F78F5D5F2}">
  <ds:schemaRefs>
    <ds:schemaRef ds:uri="http://schemas.microsoft.com/office/2006/metadata/properties"/>
    <ds:schemaRef ds:uri="http://schemas.microsoft.com/office/infopath/2007/PartnerControls"/>
    <ds:schemaRef ds:uri="58a5323c-72ac-4ab4-a9cd-9c3fb0b52b19"/>
    <ds:schemaRef ds:uri="3c2eb5ff-dd4c-45e1-a605-5b9e8baa8c5d"/>
    <ds:schemaRef ds:uri="da4cbca9-18ab-46b3-944f-7791a3a03fdd"/>
  </ds:schemaRefs>
</ds:datastoreItem>
</file>

<file path=customXml/itemProps2.xml><?xml version="1.0" encoding="utf-8"?>
<ds:datastoreItem xmlns:ds="http://schemas.openxmlformats.org/officeDocument/2006/customXml" ds:itemID="{64C18D59-3FC9-4E15-818E-2ED00CDA6CBE}">
  <ds:schemaRefs>
    <ds:schemaRef ds:uri="http://schemas.microsoft.com/sharepoint/v3/contenttype/forms"/>
  </ds:schemaRefs>
</ds:datastoreItem>
</file>

<file path=customXml/itemProps3.xml><?xml version="1.0" encoding="utf-8"?>
<ds:datastoreItem xmlns:ds="http://schemas.openxmlformats.org/officeDocument/2006/customXml" ds:itemID="{341104AC-D392-4E92-8CBB-D6490838542E}">
  <ds:schemaRefs>
    <ds:schemaRef ds:uri="http://schemas.microsoft.com/sharepoint/events"/>
  </ds:schemaRefs>
</ds:datastoreItem>
</file>

<file path=customXml/itemProps4.xml><?xml version="1.0" encoding="utf-8"?>
<ds:datastoreItem xmlns:ds="http://schemas.openxmlformats.org/officeDocument/2006/customXml" ds:itemID="{164F4BAE-74AA-428B-B2EF-6405EA060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5323c-72ac-4ab4-a9cd-9c3fb0b52b19"/>
    <ds:schemaRef ds:uri="fb89c4fe-b161-444b-8c54-ccaa2d1b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3351</Words>
  <Characters>19101</Characters>
  <Application>Microsoft Office Word</Application>
  <DocSecurity>0</DocSecurity>
  <Lines>159</Lines>
  <Paragraphs>44</Paragraphs>
  <ScaleCrop>false</ScaleCrop>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Mezzile</dc:creator>
  <cp:keywords/>
  <dc:description/>
  <cp:lastModifiedBy>Evita Aleksejenko</cp:lastModifiedBy>
  <cp:revision>15</cp:revision>
  <dcterms:created xsi:type="dcterms:W3CDTF">2024-03-11T09:36:00Z</dcterms:created>
  <dcterms:modified xsi:type="dcterms:W3CDTF">2024-07-11T12:23:00Z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0x010100D334505049E43F4780A67493A773B7CA</vt:lpwstr>
  </property>
  <property fmtid="{D5CDD505-2E9C-101B-9397-08002B2CF9AE}" pid="3" name="MediaServiceImageTags">
    <vt:lpwstr/>
  </property>
  <property fmtid="{D5CDD505-2E9C-101B-9397-08002B2CF9AE}" pid="4" name="_dlc_DocIdItemGuid">
    <vt:lpwstr>7e0dd082-fbaa-4a0b-bc0c-1012a0b2ebc5</vt:lpwstr>
  </property>
</Properties>
</file>